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7F4" w14:textId="77777777" w:rsidR="003C79F7" w:rsidRPr="004E35F2" w:rsidRDefault="003C79F7" w:rsidP="003C79F7">
      <w:pPr>
        <w:spacing w:beforeLines="50" w:before="156" w:afterLines="50" w:after="156" w:line="400" w:lineRule="exact"/>
        <w:rPr>
          <w:rFonts w:ascii="Times New Roman" w:hAnsi="Times New Roman"/>
          <w:bCs/>
          <w:iCs/>
          <w:color w:val="000000"/>
          <w:sz w:val="24"/>
        </w:rPr>
      </w:pPr>
      <w:r w:rsidRPr="004E35F2">
        <w:rPr>
          <w:rFonts w:ascii="Times New Roman" w:hAnsi="Times New Roman"/>
          <w:bCs/>
          <w:iCs/>
          <w:color w:val="000000"/>
          <w:sz w:val="24"/>
        </w:rPr>
        <w:t>证券代码：</w:t>
      </w:r>
      <w:r w:rsidR="00C10B34" w:rsidRPr="004E35F2">
        <w:rPr>
          <w:rFonts w:ascii="Times New Roman" w:hAnsi="Times New Roman"/>
          <w:bCs/>
          <w:iCs/>
          <w:color w:val="000000"/>
          <w:sz w:val="24"/>
        </w:rPr>
        <w:t>300748</w:t>
      </w:r>
      <w:r w:rsidRPr="004E35F2">
        <w:rPr>
          <w:rFonts w:ascii="Times New Roman" w:hAnsi="Times New Roman"/>
          <w:bCs/>
          <w:iCs/>
          <w:color w:val="000000"/>
          <w:sz w:val="24"/>
        </w:rPr>
        <w:t xml:space="preserve">                                 </w:t>
      </w:r>
      <w:r w:rsidR="00C10B34" w:rsidRPr="004E35F2">
        <w:rPr>
          <w:rFonts w:ascii="Times New Roman" w:hAnsi="Times New Roman"/>
          <w:bCs/>
          <w:iCs/>
          <w:color w:val="000000"/>
          <w:sz w:val="24"/>
        </w:rPr>
        <w:t>证券简称：金力永磁</w:t>
      </w:r>
    </w:p>
    <w:p w14:paraId="24DA91B3" w14:textId="18663997" w:rsidR="003C79F7" w:rsidRPr="004E35F2" w:rsidRDefault="00DD2F56" w:rsidP="003C79F7">
      <w:pPr>
        <w:spacing w:beforeLines="50" w:before="156" w:afterLines="50" w:after="156" w:line="400" w:lineRule="exact"/>
        <w:jc w:val="center"/>
        <w:rPr>
          <w:rFonts w:ascii="Times New Roman" w:hAnsi="Times New Roman"/>
          <w:b/>
          <w:bCs/>
          <w:iCs/>
          <w:color w:val="000000"/>
          <w:sz w:val="32"/>
          <w:szCs w:val="32"/>
        </w:rPr>
      </w:pPr>
      <w:r w:rsidRPr="004E35F2">
        <w:rPr>
          <w:rFonts w:ascii="Times New Roman" w:hAnsi="Times New Roman"/>
          <w:b/>
          <w:bCs/>
          <w:iCs/>
          <w:color w:val="000000"/>
          <w:sz w:val="32"/>
          <w:szCs w:val="32"/>
        </w:rPr>
        <w:t>江西金力永磁科技</w:t>
      </w:r>
      <w:r w:rsidR="003C79F7" w:rsidRPr="004E35F2">
        <w:rPr>
          <w:rFonts w:ascii="Times New Roman" w:hAnsi="Times New Roman"/>
          <w:b/>
          <w:bCs/>
          <w:iCs/>
          <w:color w:val="000000"/>
          <w:sz w:val="32"/>
          <w:szCs w:val="32"/>
        </w:rPr>
        <w:t>股份有限公司</w:t>
      </w:r>
    </w:p>
    <w:p w14:paraId="7014537F" w14:textId="77777777" w:rsidR="003C79F7" w:rsidRPr="004E35F2" w:rsidRDefault="003C79F7" w:rsidP="003C79F7">
      <w:pPr>
        <w:spacing w:beforeLines="50" w:before="156" w:afterLines="50" w:after="156" w:line="400" w:lineRule="exact"/>
        <w:jc w:val="center"/>
        <w:rPr>
          <w:rFonts w:ascii="Times New Roman" w:hAnsi="Times New Roman"/>
          <w:b/>
          <w:bCs/>
          <w:iCs/>
          <w:color w:val="000000"/>
          <w:sz w:val="32"/>
          <w:szCs w:val="32"/>
        </w:rPr>
      </w:pPr>
      <w:r w:rsidRPr="004E35F2">
        <w:rPr>
          <w:rFonts w:ascii="Times New Roman" w:hAnsi="Times New Roman"/>
          <w:b/>
          <w:bCs/>
          <w:iCs/>
          <w:color w:val="000000"/>
          <w:sz w:val="32"/>
          <w:szCs w:val="32"/>
        </w:rPr>
        <w:t>投资者关系活动记录表</w:t>
      </w:r>
    </w:p>
    <w:p w14:paraId="56D41650" w14:textId="2C163D4C" w:rsidR="003C79F7" w:rsidRPr="004E35F2" w:rsidRDefault="003C79F7" w:rsidP="003C79F7">
      <w:pPr>
        <w:spacing w:line="400" w:lineRule="exact"/>
        <w:rPr>
          <w:rFonts w:ascii="Times New Roman" w:hAnsi="Times New Roman"/>
          <w:bCs/>
          <w:iCs/>
          <w:color w:val="000000"/>
          <w:sz w:val="24"/>
        </w:rPr>
      </w:pPr>
      <w:r w:rsidRPr="004E35F2">
        <w:rPr>
          <w:rFonts w:ascii="Times New Roman" w:hAnsi="Times New Roman"/>
          <w:bCs/>
          <w:iCs/>
          <w:color w:val="000000"/>
          <w:sz w:val="24"/>
        </w:rPr>
        <w:t xml:space="preserve">                                                     </w:t>
      </w:r>
      <w:r w:rsidRPr="004E35F2">
        <w:rPr>
          <w:rFonts w:ascii="Times New Roman" w:hAnsi="Times New Roman"/>
          <w:bCs/>
          <w:iCs/>
          <w:color w:val="000000"/>
          <w:sz w:val="24"/>
        </w:rPr>
        <w:t>编号：</w:t>
      </w:r>
      <w:r w:rsidR="0025699F" w:rsidRPr="004E35F2">
        <w:rPr>
          <w:rFonts w:ascii="Times New Roman" w:hAnsi="Times New Roman"/>
          <w:bCs/>
          <w:iCs/>
          <w:color w:val="000000"/>
          <w:sz w:val="24"/>
        </w:rPr>
        <w:t>201</w:t>
      </w:r>
      <w:r w:rsidR="00A2475C" w:rsidRPr="004E35F2">
        <w:rPr>
          <w:rFonts w:ascii="Times New Roman" w:hAnsi="Times New Roman"/>
          <w:bCs/>
          <w:iCs/>
          <w:color w:val="000000"/>
          <w:sz w:val="24"/>
        </w:rPr>
        <w:t>8-00</w:t>
      </w:r>
      <w:r w:rsidR="00445BD4">
        <w:rPr>
          <w:rFonts w:ascii="Times New Roman" w:hAnsi="Times New Roman" w:hint="eastAsia"/>
          <w:bCs/>
          <w:iCs/>
          <w:color w:val="000000"/>
          <w:sz w:val="24"/>
        </w:rPr>
        <w:t>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801"/>
      </w:tblGrid>
      <w:tr w:rsidR="003C79F7" w:rsidRPr="004E35F2"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4E35F2" w:rsidRDefault="003C79F7" w:rsidP="00C74F98">
            <w:pPr>
              <w:spacing w:line="480" w:lineRule="atLeast"/>
              <w:rPr>
                <w:rFonts w:ascii="Times New Roman" w:hAnsi="Times New Roman"/>
                <w:bCs/>
                <w:iCs/>
                <w:color w:val="000000"/>
                <w:sz w:val="24"/>
              </w:rPr>
            </w:pPr>
            <w:r w:rsidRPr="004E35F2">
              <w:rPr>
                <w:rFonts w:ascii="Times New Roman" w:hAnsi="Times New Roman"/>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特定对象调研</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分析师会议</w:t>
            </w:r>
          </w:p>
          <w:p w14:paraId="06B8E678"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媒体采访</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业绩说明会</w:t>
            </w:r>
          </w:p>
          <w:p w14:paraId="7E6E48AE" w14:textId="77777777" w:rsidR="003C79F7" w:rsidRPr="004E35F2" w:rsidRDefault="003C79F7" w:rsidP="00B71FC0">
            <w:pPr>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新闻发布会</w:t>
            </w:r>
            <w:r w:rsidRPr="004E35F2">
              <w:rPr>
                <w:rFonts w:ascii="Times New Roman" w:hAnsi="Times New Roman"/>
                <w:sz w:val="28"/>
                <w:szCs w:val="28"/>
              </w:rPr>
              <w:t xml:space="preserve">          </w:t>
            </w:r>
            <w:r w:rsidRPr="004E35F2">
              <w:rPr>
                <w:rFonts w:ascii="Times New Roman" w:hAnsi="Times New Roman"/>
                <w:bCs/>
                <w:iCs/>
                <w:color w:val="000000"/>
                <w:sz w:val="24"/>
              </w:rPr>
              <w:t>□</w:t>
            </w:r>
            <w:r w:rsidRPr="004E35F2">
              <w:rPr>
                <w:rFonts w:ascii="Times New Roman" w:hAnsi="Times New Roman"/>
                <w:sz w:val="28"/>
                <w:szCs w:val="28"/>
              </w:rPr>
              <w:t>路演活动</w:t>
            </w:r>
          </w:p>
          <w:p w14:paraId="67E7392A" w14:textId="77777777" w:rsidR="003C79F7" w:rsidRPr="004E35F2" w:rsidRDefault="003C79F7" w:rsidP="00B71FC0">
            <w:pPr>
              <w:tabs>
                <w:tab w:val="left" w:pos="3045"/>
                <w:tab w:val="center" w:pos="3199"/>
              </w:tabs>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现场参观</w:t>
            </w:r>
            <w:r w:rsidRPr="004E35F2">
              <w:rPr>
                <w:rFonts w:ascii="Times New Roman" w:hAnsi="Times New Roman"/>
                <w:bCs/>
                <w:iCs/>
                <w:color w:val="000000"/>
                <w:sz w:val="24"/>
              </w:rPr>
              <w:tab/>
            </w:r>
          </w:p>
          <w:p w14:paraId="2C88E723" w14:textId="77777777" w:rsidR="003C79F7" w:rsidRPr="004E35F2" w:rsidRDefault="003C79F7" w:rsidP="00B71FC0">
            <w:pPr>
              <w:tabs>
                <w:tab w:val="center" w:pos="3199"/>
              </w:tabs>
              <w:spacing w:line="276" w:lineRule="auto"/>
              <w:rPr>
                <w:rFonts w:ascii="Times New Roman" w:hAnsi="Times New Roman"/>
                <w:bCs/>
                <w:iCs/>
                <w:color w:val="000000"/>
                <w:sz w:val="24"/>
              </w:rPr>
            </w:pPr>
            <w:r w:rsidRPr="004E35F2">
              <w:rPr>
                <w:rFonts w:ascii="Times New Roman" w:hAnsi="Times New Roman"/>
                <w:bCs/>
                <w:iCs/>
                <w:color w:val="000000"/>
                <w:sz w:val="24"/>
              </w:rPr>
              <w:t>□</w:t>
            </w:r>
            <w:r w:rsidRPr="004E35F2">
              <w:rPr>
                <w:rFonts w:ascii="Times New Roman" w:hAnsi="Times New Roman"/>
                <w:sz w:val="28"/>
                <w:szCs w:val="28"/>
              </w:rPr>
              <w:t>其他</w:t>
            </w:r>
            <w:r w:rsidRPr="004E35F2">
              <w:rPr>
                <w:rFonts w:ascii="Times New Roman" w:hAnsi="Times New Roman"/>
                <w:sz w:val="28"/>
                <w:szCs w:val="28"/>
              </w:rPr>
              <w:t xml:space="preserve"> </w:t>
            </w:r>
            <w:r w:rsidRPr="004E35F2">
              <w:rPr>
                <w:rFonts w:ascii="Times New Roman" w:hAnsi="Times New Roman"/>
                <w:sz w:val="28"/>
                <w:szCs w:val="28"/>
              </w:rPr>
              <w:t>（</w:t>
            </w:r>
            <w:r w:rsidRPr="004E35F2">
              <w:rPr>
                <w:rFonts w:ascii="Times New Roman" w:hAnsi="Times New Roman"/>
                <w:sz w:val="28"/>
                <w:szCs w:val="28"/>
                <w:u w:val="single"/>
              </w:rPr>
              <w:t>请文字说明其他活动内容）</w:t>
            </w:r>
          </w:p>
        </w:tc>
      </w:tr>
      <w:tr w:rsidR="003C79F7" w:rsidRPr="004E35F2" w14:paraId="5537F17B" w14:textId="77777777" w:rsidTr="00496FE8">
        <w:trPr>
          <w:trHeight w:val="1724"/>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4E35F2" w:rsidRDefault="003C79F7" w:rsidP="007010C7">
            <w:pPr>
              <w:spacing w:line="480" w:lineRule="atLeast"/>
              <w:rPr>
                <w:rFonts w:ascii="Times New Roman" w:hAnsi="Times New Roman"/>
                <w:bCs/>
                <w:iCs/>
                <w:color w:val="000000"/>
                <w:sz w:val="24"/>
              </w:rPr>
            </w:pPr>
            <w:r w:rsidRPr="004E35F2">
              <w:rPr>
                <w:rFonts w:ascii="Times New Roman" w:hAnsi="Times New Roman"/>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4BB6895F" w14:textId="09481FF1" w:rsidR="00AA0C08" w:rsidRPr="004E35F2" w:rsidRDefault="00DD2F56" w:rsidP="007E74E3">
            <w:pPr>
              <w:spacing w:line="480" w:lineRule="atLeast"/>
              <w:rPr>
                <w:rFonts w:ascii="Times New Roman" w:hAnsi="Times New Roman"/>
                <w:bCs/>
                <w:iCs/>
                <w:color w:val="000000"/>
                <w:sz w:val="24"/>
              </w:rPr>
            </w:pPr>
            <w:r w:rsidRPr="004E35F2">
              <w:rPr>
                <w:rFonts w:ascii="Times New Roman" w:hAnsi="Times New Roman"/>
                <w:bCs/>
                <w:iCs/>
                <w:color w:val="000000"/>
                <w:sz w:val="24"/>
              </w:rPr>
              <w:t>国信证券股份有限公司</w:t>
            </w:r>
            <w:r w:rsidRPr="004E35F2">
              <w:rPr>
                <w:rFonts w:ascii="Times New Roman" w:hAnsi="Times New Roman"/>
                <w:bCs/>
                <w:iCs/>
                <w:color w:val="000000"/>
                <w:sz w:val="24"/>
              </w:rPr>
              <w:t xml:space="preserve">    </w:t>
            </w:r>
            <w:r w:rsidR="00D31414" w:rsidRPr="004E35F2">
              <w:rPr>
                <w:rFonts w:ascii="Times New Roman" w:hAnsi="Times New Roman"/>
                <w:bCs/>
                <w:iCs/>
                <w:color w:val="000000"/>
                <w:sz w:val="24"/>
              </w:rPr>
              <w:t xml:space="preserve"> </w:t>
            </w:r>
            <w:r w:rsidR="005B3724" w:rsidRPr="004E35F2">
              <w:rPr>
                <w:rFonts w:ascii="Times New Roman" w:hAnsi="Times New Roman"/>
                <w:bCs/>
                <w:iCs/>
                <w:color w:val="000000"/>
                <w:sz w:val="24"/>
              </w:rPr>
              <w:t xml:space="preserve"> </w:t>
            </w:r>
            <w:r w:rsidR="00D31414" w:rsidRPr="004E35F2">
              <w:rPr>
                <w:rFonts w:ascii="Times New Roman" w:hAnsi="Times New Roman"/>
                <w:bCs/>
                <w:iCs/>
                <w:color w:val="000000"/>
                <w:sz w:val="24"/>
              </w:rPr>
              <w:t>王蔚祺</w:t>
            </w:r>
          </w:p>
          <w:p w14:paraId="34C0CE77" w14:textId="6C836F0C" w:rsidR="00D31414" w:rsidRPr="004E35F2" w:rsidRDefault="00D31414" w:rsidP="007E74E3">
            <w:pPr>
              <w:spacing w:line="480" w:lineRule="atLeast"/>
              <w:rPr>
                <w:rFonts w:ascii="Times New Roman" w:hAnsi="Times New Roman"/>
                <w:bCs/>
                <w:iCs/>
                <w:color w:val="000000"/>
                <w:sz w:val="24"/>
              </w:rPr>
            </w:pPr>
            <w:r w:rsidRPr="004E35F2">
              <w:rPr>
                <w:rFonts w:ascii="Times New Roman" w:hAnsi="Times New Roman"/>
                <w:bCs/>
                <w:iCs/>
                <w:color w:val="000000"/>
                <w:sz w:val="24"/>
              </w:rPr>
              <w:t>东方证券资产管理有限公司</w:t>
            </w:r>
            <w:r w:rsidRPr="004E35F2">
              <w:rPr>
                <w:rFonts w:ascii="Times New Roman" w:hAnsi="Times New Roman"/>
                <w:bCs/>
                <w:iCs/>
                <w:color w:val="000000"/>
                <w:sz w:val="24"/>
              </w:rPr>
              <w:t xml:space="preserve"> </w:t>
            </w:r>
            <w:r w:rsidR="005B3724" w:rsidRPr="004E35F2">
              <w:rPr>
                <w:rFonts w:ascii="Times New Roman" w:hAnsi="Times New Roman"/>
                <w:bCs/>
                <w:iCs/>
                <w:color w:val="000000"/>
                <w:sz w:val="24"/>
              </w:rPr>
              <w:t xml:space="preserve"> </w:t>
            </w:r>
            <w:r w:rsidRPr="004E35F2">
              <w:rPr>
                <w:rFonts w:ascii="Times New Roman" w:hAnsi="Times New Roman"/>
                <w:bCs/>
                <w:iCs/>
                <w:color w:val="000000"/>
                <w:sz w:val="24"/>
              </w:rPr>
              <w:t>郭乃幸</w:t>
            </w:r>
          </w:p>
          <w:p w14:paraId="63BD739C" w14:textId="22F4CD2B" w:rsidR="00D31414" w:rsidRPr="004E35F2" w:rsidRDefault="00D31414" w:rsidP="007E74E3">
            <w:pPr>
              <w:spacing w:line="480" w:lineRule="atLeast"/>
              <w:rPr>
                <w:rFonts w:ascii="Times New Roman" w:hAnsi="Times New Roman"/>
                <w:bCs/>
                <w:iCs/>
                <w:color w:val="000000"/>
                <w:sz w:val="24"/>
              </w:rPr>
            </w:pPr>
            <w:r w:rsidRPr="004E35F2">
              <w:rPr>
                <w:rFonts w:ascii="Times New Roman" w:hAnsi="Times New Roman"/>
                <w:bCs/>
                <w:iCs/>
                <w:color w:val="000000"/>
                <w:sz w:val="24"/>
              </w:rPr>
              <w:t>东方证券股份有限公司</w:t>
            </w:r>
            <w:r w:rsidRPr="004E35F2">
              <w:rPr>
                <w:rFonts w:ascii="Times New Roman" w:hAnsi="Times New Roman"/>
                <w:bCs/>
                <w:iCs/>
                <w:color w:val="000000"/>
                <w:sz w:val="24"/>
              </w:rPr>
              <w:t xml:space="preserve"> </w:t>
            </w:r>
            <w:r w:rsidR="00DD2F56" w:rsidRPr="004E35F2">
              <w:rPr>
                <w:rFonts w:ascii="Times New Roman" w:hAnsi="Times New Roman"/>
                <w:bCs/>
                <w:iCs/>
                <w:color w:val="000000"/>
                <w:sz w:val="24"/>
              </w:rPr>
              <w:t xml:space="preserve">    </w:t>
            </w:r>
            <w:r w:rsidR="005B3724" w:rsidRPr="004E35F2">
              <w:rPr>
                <w:rFonts w:ascii="Times New Roman" w:hAnsi="Times New Roman"/>
                <w:bCs/>
                <w:iCs/>
                <w:color w:val="000000"/>
                <w:sz w:val="24"/>
              </w:rPr>
              <w:t xml:space="preserve"> </w:t>
            </w:r>
            <w:proofErr w:type="gramStart"/>
            <w:r w:rsidRPr="004E35F2">
              <w:rPr>
                <w:rFonts w:ascii="Times New Roman" w:hAnsi="Times New Roman"/>
                <w:bCs/>
                <w:iCs/>
                <w:color w:val="000000"/>
                <w:sz w:val="24"/>
              </w:rPr>
              <w:t>彭</w:t>
            </w:r>
            <w:proofErr w:type="gramEnd"/>
            <w:r w:rsidRPr="004E35F2">
              <w:rPr>
                <w:rFonts w:ascii="Times New Roman" w:hAnsi="Times New Roman"/>
                <w:bCs/>
                <w:iCs/>
                <w:color w:val="000000"/>
                <w:sz w:val="24"/>
              </w:rPr>
              <w:t>海涛</w:t>
            </w:r>
          </w:p>
          <w:p w14:paraId="76091357" w14:textId="246FB51A" w:rsidR="00D31414" w:rsidRPr="004E35F2" w:rsidRDefault="00D31414" w:rsidP="007E74E3">
            <w:pPr>
              <w:spacing w:line="480" w:lineRule="atLeast"/>
              <w:rPr>
                <w:rFonts w:ascii="Times New Roman" w:hAnsi="Times New Roman"/>
                <w:bCs/>
                <w:iCs/>
                <w:color w:val="000000"/>
                <w:sz w:val="24"/>
              </w:rPr>
            </w:pPr>
            <w:r w:rsidRPr="004E35F2">
              <w:rPr>
                <w:rFonts w:ascii="Times New Roman" w:hAnsi="Times New Roman"/>
                <w:bCs/>
                <w:iCs/>
                <w:color w:val="000000"/>
                <w:sz w:val="24"/>
              </w:rPr>
              <w:t>上海南土投资管理有限公司</w:t>
            </w:r>
            <w:r w:rsidRPr="004E35F2">
              <w:rPr>
                <w:rFonts w:ascii="Times New Roman" w:hAnsi="Times New Roman"/>
                <w:bCs/>
                <w:iCs/>
                <w:color w:val="000000"/>
                <w:sz w:val="24"/>
              </w:rPr>
              <w:t xml:space="preserve"> </w:t>
            </w:r>
            <w:r w:rsidR="005B3724" w:rsidRPr="004E35F2">
              <w:rPr>
                <w:rFonts w:ascii="Times New Roman" w:hAnsi="Times New Roman"/>
                <w:bCs/>
                <w:iCs/>
                <w:color w:val="000000"/>
                <w:sz w:val="24"/>
              </w:rPr>
              <w:t xml:space="preserve"> </w:t>
            </w:r>
            <w:proofErr w:type="gramStart"/>
            <w:r w:rsidRPr="004E35F2">
              <w:rPr>
                <w:rFonts w:ascii="Times New Roman" w:hAnsi="Times New Roman"/>
                <w:bCs/>
                <w:iCs/>
                <w:color w:val="000000"/>
                <w:sz w:val="24"/>
              </w:rPr>
              <w:t>秦石</w:t>
            </w:r>
            <w:proofErr w:type="gramEnd"/>
          </w:p>
        </w:tc>
      </w:tr>
      <w:tr w:rsidR="003C79F7" w:rsidRPr="004E35F2"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6B0A536F" w:rsidR="003C79F7" w:rsidRPr="004E35F2" w:rsidRDefault="003C79F7" w:rsidP="004E35F2">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77777777" w:rsidR="003C79F7" w:rsidRPr="004E35F2" w:rsidRDefault="00616862" w:rsidP="00A2475C">
            <w:pPr>
              <w:spacing w:line="480" w:lineRule="atLeast"/>
              <w:rPr>
                <w:rFonts w:ascii="Times New Roman" w:hAnsi="Times New Roman"/>
                <w:bCs/>
                <w:iCs/>
                <w:color w:val="000000"/>
                <w:sz w:val="24"/>
              </w:rPr>
            </w:pPr>
            <w:r w:rsidRPr="004E35F2">
              <w:rPr>
                <w:rFonts w:ascii="Times New Roman" w:hAnsi="Times New Roman"/>
                <w:bCs/>
                <w:iCs/>
                <w:color w:val="000000"/>
                <w:sz w:val="24"/>
              </w:rPr>
              <w:t>201</w:t>
            </w:r>
            <w:r w:rsidR="00757AA8" w:rsidRPr="004E35F2">
              <w:rPr>
                <w:rFonts w:ascii="Times New Roman" w:hAnsi="Times New Roman"/>
                <w:bCs/>
                <w:iCs/>
                <w:color w:val="000000"/>
                <w:sz w:val="24"/>
              </w:rPr>
              <w:t>8</w:t>
            </w:r>
            <w:r w:rsidRPr="004E35F2">
              <w:rPr>
                <w:rFonts w:ascii="Times New Roman" w:hAnsi="Times New Roman"/>
                <w:bCs/>
                <w:iCs/>
                <w:color w:val="000000"/>
                <w:sz w:val="24"/>
              </w:rPr>
              <w:t>年</w:t>
            </w:r>
            <w:r w:rsidR="00C10B34" w:rsidRPr="004E35F2">
              <w:rPr>
                <w:rFonts w:ascii="Times New Roman" w:hAnsi="Times New Roman"/>
                <w:bCs/>
                <w:iCs/>
                <w:color w:val="000000"/>
                <w:sz w:val="24"/>
              </w:rPr>
              <w:t>10</w:t>
            </w:r>
            <w:r w:rsidRPr="004E35F2">
              <w:rPr>
                <w:rFonts w:ascii="Times New Roman" w:hAnsi="Times New Roman"/>
                <w:bCs/>
                <w:iCs/>
                <w:color w:val="000000"/>
                <w:sz w:val="24"/>
              </w:rPr>
              <w:t>月</w:t>
            </w:r>
            <w:r w:rsidR="00C10B34" w:rsidRPr="004E35F2">
              <w:rPr>
                <w:rFonts w:ascii="Times New Roman" w:hAnsi="Times New Roman"/>
                <w:bCs/>
                <w:iCs/>
                <w:color w:val="000000"/>
                <w:sz w:val="24"/>
              </w:rPr>
              <w:t>16</w:t>
            </w:r>
            <w:r w:rsidRPr="004E35F2">
              <w:rPr>
                <w:rFonts w:ascii="Times New Roman" w:hAnsi="Times New Roman"/>
                <w:bCs/>
                <w:iCs/>
                <w:color w:val="000000"/>
                <w:sz w:val="24"/>
              </w:rPr>
              <w:t>日</w:t>
            </w:r>
          </w:p>
        </w:tc>
      </w:tr>
      <w:tr w:rsidR="003C79F7" w:rsidRPr="004E35F2"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6BC1F72B" w:rsidR="003C79F7" w:rsidRPr="004E35F2" w:rsidRDefault="003C79F7" w:rsidP="004E35F2">
            <w:pPr>
              <w:spacing w:line="480" w:lineRule="atLeast"/>
              <w:jc w:val="center"/>
              <w:rPr>
                <w:rFonts w:ascii="Times New Roman" w:hAnsi="Times New Roman"/>
                <w:bCs/>
                <w:iCs/>
                <w:color w:val="000000"/>
                <w:sz w:val="24"/>
              </w:rPr>
            </w:pPr>
            <w:r w:rsidRPr="004E35F2">
              <w:rPr>
                <w:rFonts w:ascii="Times New Roman" w:hAnsi="Times New Roman"/>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14BA9D36" w:rsidR="003C79F7" w:rsidRPr="004E35F2" w:rsidRDefault="000F4972" w:rsidP="007010C7">
            <w:pPr>
              <w:spacing w:line="480" w:lineRule="atLeast"/>
              <w:rPr>
                <w:rFonts w:ascii="Times New Roman" w:hAnsi="Times New Roman"/>
                <w:bCs/>
                <w:iCs/>
                <w:color w:val="000000"/>
                <w:sz w:val="24"/>
              </w:rPr>
            </w:pPr>
            <w:r w:rsidRPr="004E35F2">
              <w:rPr>
                <w:rFonts w:ascii="Times New Roman" w:hAnsi="Times New Roman"/>
                <w:bCs/>
                <w:iCs/>
                <w:color w:val="000000"/>
                <w:sz w:val="24"/>
              </w:rPr>
              <w:t>江西金力永磁科技股份有限公司</w:t>
            </w:r>
            <w:r w:rsidR="00C10B34" w:rsidRPr="004E35F2">
              <w:rPr>
                <w:rFonts w:ascii="Times New Roman" w:hAnsi="Times New Roman"/>
                <w:bCs/>
                <w:iCs/>
                <w:color w:val="000000"/>
                <w:sz w:val="24"/>
              </w:rPr>
              <w:t>北京分</w:t>
            </w:r>
            <w:r w:rsidR="00A019CE" w:rsidRPr="004E35F2">
              <w:rPr>
                <w:rFonts w:ascii="Times New Roman" w:hAnsi="Times New Roman"/>
                <w:bCs/>
                <w:iCs/>
                <w:color w:val="000000"/>
                <w:sz w:val="24"/>
              </w:rPr>
              <w:t>公司</w:t>
            </w:r>
            <w:r w:rsidR="003C79F7" w:rsidRPr="004E35F2">
              <w:rPr>
                <w:rFonts w:ascii="Times New Roman" w:hAnsi="Times New Roman"/>
                <w:bCs/>
                <w:iCs/>
                <w:color w:val="000000"/>
                <w:sz w:val="24"/>
              </w:rPr>
              <w:t>会议室</w:t>
            </w:r>
          </w:p>
        </w:tc>
      </w:tr>
      <w:tr w:rsidR="003C79F7" w:rsidRPr="004E35F2"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495F0552" w:rsidR="003C79F7" w:rsidRPr="004E35F2" w:rsidRDefault="003C79F7" w:rsidP="007010C7">
            <w:pPr>
              <w:spacing w:line="480" w:lineRule="atLeast"/>
              <w:rPr>
                <w:rFonts w:ascii="Times New Roman" w:hAnsi="Times New Roman"/>
                <w:bCs/>
                <w:iCs/>
                <w:color w:val="000000"/>
                <w:sz w:val="24"/>
              </w:rPr>
            </w:pPr>
            <w:r w:rsidRPr="004E35F2">
              <w:rPr>
                <w:rFonts w:ascii="Times New Roman" w:hAnsi="Times New Roman"/>
                <w:bCs/>
                <w:iCs/>
                <w:color w:val="000000"/>
                <w:sz w:val="24"/>
              </w:rPr>
              <w:t>上市公司接待人员姓</w:t>
            </w:r>
            <w:r w:rsidR="000F4972" w:rsidRPr="004E35F2">
              <w:rPr>
                <w:rFonts w:ascii="Times New Roman" w:hAnsi="Times New Roman"/>
                <w:bCs/>
                <w:iCs/>
                <w:color w:val="000000"/>
                <w:sz w:val="24"/>
              </w:rPr>
              <w:t xml:space="preserve"> </w:t>
            </w:r>
            <w:r w:rsidRPr="004E35F2">
              <w:rPr>
                <w:rFonts w:ascii="Times New Roman" w:hAnsi="Times New Roman"/>
                <w:bCs/>
                <w:iCs/>
                <w:color w:val="000000"/>
                <w:sz w:val="24"/>
              </w:rPr>
              <w:t>名</w:t>
            </w:r>
          </w:p>
        </w:tc>
        <w:tc>
          <w:tcPr>
            <w:tcW w:w="6945" w:type="dxa"/>
            <w:tcBorders>
              <w:top w:val="single" w:sz="4" w:space="0" w:color="auto"/>
              <w:left w:val="single" w:sz="4" w:space="0" w:color="auto"/>
              <w:bottom w:val="single" w:sz="4" w:space="0" w:color="auto"/>
              <w:right w:val="single" w:sz="4" w:space="0" w:color="auto"/>
            </w:tcBorders>
            <w:vAlign w:val="center"/>
          </w:tcPr>
          <w:p w14:paraId="45B83C0F" w14:textId="3B8DC8D9" w:rsidR="003C79F7" w:rsidRPr="004E35F2" w:rsidRDefault="00C10B34" w:rsidP="007010C7">
            <w:pPr>
              <w:spacing w:line="480" w:lineRule="atLeast"/>
              <w:rPr>
                <w:rFonts w:ascii="Times New Roman" w:hAnsi="Times New Roman"/>
                <w:bCs/>
                <w:iCs/>
                <w:color w:val="000000"/>
                <w:sz w:val="24"/>
              </w:rPr>
            </w:pPr>
            <w:r w:rsidRPr="004E35F2">
              <w:rPr>
                <w:rFonts w:ascii="Times New Roman" w:hAnsi="Times New Roman"/>
                <w:bCs/>
                <w:iCs/>
                <w:color w:val="000000"/>
                <w:sz w:val="24"/>
              </w:rPr>
              <w:t>董事会秘书</w:t>
            </w:r>
            <w:r w:rsidR="000F4972" w:rsidRPr="004E35F2">
              <w:rPr>
                <w:rFonts w:ascii="Times New Roman" w:hAnsi="Times New Roman"/>
                <w:bCs/>
                <w:iCs/>
                <w:color w:val="000000"/>
                <w:sz w:val="24"/>
              </w:rPr>
              <w:t>、副总经理</w:t>
            </w:r>
            <w:r w:rsidRPr="004E35F2">
              <w:rPr>
                <w:rFonts w:ascii="Times New Roman" w:hAnsi="Times New Roman"/>
                <w:bCs/>
                <w:iCs/>
                <w:color w:val="000000"/>
                <w:sz w:val="24"/>
              </w:rPr>
              <w:t>：鹿明</w:t>
            </w:r>
          </w:p>
        </w:tc>
      </w:tr>
      <w:tr w:rsidR="003C79F7" w:rsidRPr="004E35F2"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4E35F2" w:rsidRDefault="003C79F7" w:rsidP="00C74F98">
            <w:pPr>
              <w:spacing w:line="480" w:lineRule="atLeast"/>
              <w:rPr>
                <w:rFonts w:ascii="Times New Roman" w:hAnsi="Times New Roman"/>
                <w:bCs/>
                <w:iCs/>
                <w:color w:val="000000"/>
                <w:sz w:val="24"/>
              </w:rPr>
            </w:pPr>
            <w:r w:rsidRPr="004E35F2">
              <w:rPr>
                <w:rFonts w:ascii="Times New Roman" w:hAnsi="Times New Roman"/>
                <w:bCs/>
                <w:iCs/>
                <w:color w:val="000000"/>
                <w:sz w:val="24"/>
              </w:rPr>
              <w:lastRenderedPageBreak/>
              <w:t>投资者关系活动主要内容介绍</w:t>
            </w:r>
          </w:p>
          <w:p w14:paraId="6B3926CF" w14:textId="77777777" w:rsidR="003C79F7" w:rsidRPr="004E35F2" w:rsidRDefault="003C79F7" w:rsidP="00C74F98">
            <w:pPr>
              <w:spacing w:line="480" w:lineRule="atLeast"/>
              <w:rPr>
                <w:rFonts w:ascii="Times New Roman" w:hAnsi="Times New Roman"/>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0A92B5E2" w14:textId="350C5D86" w:rsidR="006F4DEC" w:rsidRPr="004E35F2" w:rsidRDefault="006F4DEC" w:rsidP="006F4DEC">
            <w:pPr>
              <w:spacing w:line="480" w:lineRule="atLeast"/>
              <w:rPr>
                <w:rFonts w:ascii="Times New Roman" w:hAnsi="Times New Roman"/>
                <w:b/>
                <w:bCs/>
                <w:iCs/>
                <w:sz w:val="24"/>
              </w:rPr>
            </w:pPr>
            <w:r w:rsidRPr="004E35F2">
              <w:rPr>
                <w:rFonts w:ascii="Times New Roman" w:hAnsi="Times New Roman"/>
                <w:b/>
                <w:bCs/>
                <w:iCs/>
                <w:sz w:val="24"/>
              </w:rPr>
              <w:t>1</w:t>
            </w:r>
            <w:r w:rsidR="003A43E8" w:rsidRPr="004E35F2">
              <w:rPr>
                <w:rFonts w:ascii="Times New Roman" w:hAnsi="Times New Roman"/>
                <w:b/>
                <w:bCs/>
                <w:iCs/>
                <w:sz w:val="24"/>
              </w:rPr>
              <w:t>、问：</w:t>
            </w:r>
            <w:r w:rsidR="00D10BD2" w:rsidRPr="004E35F2">
              <w:rPr>
                <w:rFonts w:ascii="Times New Roman" w:hAnsi="Times New Roman"/>
                <w:b/>
                <w:bCs/>
                <w:iCs/>
                <w:sz w:val="24"/>
              </w:rPr>
              <w:t>请介绍一下公司</w:t>
            </w:r>
            <w:r w:rsidR="00FA5B7F" w:rsidRPr="004E35F2">
              <w:rPr>
                <w:rFonts w:ascii="Times New Roman" w:hAnsi="Times New Roman"/>
                <w:b/>
                <w:bCs/>
                <w:iCs/>
                <w:sz w:val="24"/>
              </w:rPr>
              <w:t>产品的主要应用</w:t>
            </w:r>
            <w:r w:rsidRPr="004E35F2">
              <w:rPr>
                <w:rFonts w:ascii="Times New Roman" w:hAnsi="Times New Roman"/>
                <w:b/>
                <w:bCs/>
                <w:iCs/>
                <w:sz w:val="24"/>
              </w:rPr>
              <w:t>。</w:t>
            </w:r>
          </w:p>
          <w:p w14:paraId="39585B1F" w14:textId="5348976F" w:rsidR="00D10BD2" w:rsidRPr="004E35F2" w:rsidRDefault="006F4DEC" w:rsidP="00854D5C">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00FA5B7F" w:rsidRPr="004E35F2">
              <w:rPr>
                <w:rFonts w:ascii="Times New Roman" w:hAnsi="Times New Roman"/>
                <w:bCs/>
                <w:iCs/>
                <w:sz w:val="24"/>
              </w:rPr>
              <w:t>公司是集研发、生产和销售高性能钕铁硼永磁材料于一体的高新技术企业，是国内新能源和节能环保领域核心应用材料的领先供应商。</w:t>
            </w:r>
            <w:r w:rsidR="009318AE" w:rsidRPr="004E35F2">
              <w:rPr>
                <w:rFonts w:ascii="Times New Roman" w:hAnsi="Times New Roman"/>
                <w:bCs/>
                <w:iCs/>
                <w:sz w:val="24"/>
              </w:rPr>
              <w:t>公司</w:t>
            </w:r>
            <w:r w:rsidR="00FA5B7F" w:rsidRPr="004E35F2">
              <w:rPr>
                <w:rFonts w:ascii="Times New Roman" w:hAnsi="Times New Roman"/>
                <w:bCs/>
                <w:iCs/>
                <w:sz w:val="24"/>
              </w:rPr>
              <w:t>产品被广泛应用于风力发电、新能源汽车及汽车零部件、节能变频空调、节能电梯、机器人及智能制造等领域，并与各领域国内外龙头企业建立了长期稳定的合作关系。</w:t>
            </w:r>
          </w:p>
          <w:p w14:paraId="22E65DFC" w14:textId="77777777" w:rsidR="000F4972" w:rsidRPr="004E35F2" w:rsidRDefault="000F4972" w:rsidP="006F4DEC">
            <w:pPr>
              <w:spacing w:line="480" w:lineRule="atLeast"/>
              <w:rPr>
                <w:rFonts w:ascii="Times New Roman" w:hAnsi="Times New Roman"/>
                <w:bCs/>
                <w:iCs/>
                <w:sz w:val="24"/>
              </w:rPr>
            </w:pPr>
          </w:p>
          <w:p w14:paraId="28EEEA8B" w14:textId="19E2A6BC" w:rsidR="00D31414" w:rsidRPr="004E35F2" w:rsidRDefault="002211E9" w:rsidP="006C62D3">
            <w:pPr>
              <w:spacing w:line="480" w:lineRule="atLeast"/>
              <w:rPr>
                <w:rFonts w:ascii="Times New Roman" w:hAnsi="Times New Roman"/>
                <w:b/>
                <w:bCs/>
                <w:iCs/>
                <w:sz w:val="24"/>
              </w:rPr>
            </w:pPr>
            <w:r w:rsidRPr="004E35F2">
              <w:rPr>
                <w:rFonts w:ascii="Times New Roman" w:hAnsi="Times New Roman"/>
                <w:b/>
                <w:bCs/>
                <w:iCs/>
                <w:sz w:val="24"/>
              </w:rPr>
              <w:t>2</w:t>
            </w:r>
            <w:r w:rsidR="006F4DEC" w:rsidRPr="004E35F2">
              <w:rPr>
                <w:rFonts w:ascii="Times New Roman" w:hAnsi="Times New Roman"/>
                <w:b/>
                <w:bCs/>
                <w:iCs/>
                <w:sz w:val="24"/>
              </w:rPr>
              <w:t>、问：</w:t>
            </w:r>
            <w:r w:rsidRPr="004E35F2">
              <w:rPr>
                <w:rFonts w:ascii="Times New Roman" w:hAnsi="Times New Roman"/>
                <w:b/>
                <w:bCs/>
                <w:iCs/>
                <w:sz w:val="24"/>
              </w:rPr>
              <w:t>请介绍公司各领域的销售收入占比及主要客户。</w:t>
            </w:r>
          </w:p>
          <w:p w14:paraId="0EE730D7" w14:textId="748441DF" w:rsidR="002211E9" w:rsidRPr="00005170" w:rsidRDefault="006F4DEC" w:rsidP="006F4DEC">
            <w:pPr>
              <w:spacing w:line="480" w:lineRule="atLeast"/>
              <w:rPr>
                <w:rFonts w:ascii="Times New Roman" w:hAnsi="Times New Roman"/>
                <w:bCs/>
                <w:iCs/>
                <w:sz w:val="24"/>
              </w:rPr>
            </w:pPr>
            <w:r w:rsidRPr="004E35F2">
              <w:rPr>
                <w:rFonts w:ascii="Times New Roman" w:hAnsi="Times New Roman"/>
                <w:b/>
                <w:bCs/>
                <w:iCs/>
                <w:sz w:val="24"/>
              </w:rPr>
              <w:t>答：</w:t>
            </w:r>
            <w:r w:rsidR="009318AE" w:rsidRPr="00005170">
              <w:rPr>
                <w:rFonts w:ascii="Times New Roman" w:hAnsi="Times New Roman"/>
                <w:bCs/>
                <w:iCs/>
                <w:sz w:val="24"/>
              </w:rPr>
              <w:t>2018</w:t>
            </w:r>
            <w:r w:rsidR="009318AE" w:rsidRPr="00005170">
              <w:rPr>
                <w:rFonts w:ascii="Times New Roman" w:hAnsi="Times New Roman"/>
                <w:bCs/>
                <w:iCs/>
                <w:sz w:val="24"/>
              </w:rPr>
              <w:t>年上半年，公司各领域的销售收入、占比及主要客户如下：</w:t>
            </w:r>
          </w:p>
          <w:p w14:paraId="10DFEC92" w14:textId="77777777" w:rsidR="000F4972" w:rsidRPr="004E35F2" w:rsidRDefault="000F4972" w:rsidP="006F4DEC">
            <w:pPr>
              <w:spacing w:line="480" w:lineRule="atLeast"/>
              <w:rPr>
                <w:rFonts w:ascii="Times New Roman" w:hAnsi="Times New Roman"/>
                <w:b/>
                <w:bCs/>
                <w:iCs/>
                <w:sz w:val="24"/>
              </w:rPr>
            </w:pPr>
          </w:p>
          <w:tbl>
            <w:tblPr>
              <w:tblStyle w:val="a8"/>
              <w:tblW w:w="7563" w:type="dxa"/>
              <w:tblLook w:val="04A0" w:firstRow="1" w:lastRow="0" w:firstColumn="1" w:lastColumn="0" w:noHBand="0" w:noVBand="1"/>
            </w:tblPr>
            <w:tblGrid>
              <w:gridCol w:w="1926"/>
              <w:gridCol w:w="1646"/>
              <w:gridCol w:w="1004"/>
              <w:gridCol w:w="2999"/>
            </w:tblGrid>
            <w:tr w:rsidR="005018E3" w:rsidRPr="004E35F2" w14:paraId="5C9F383F" w14:textId="77777777" w:rsidTr="009318AE">
              <w:trPr>
                <w:trHeight w:val="278"/>
              </w:trPr>
              <w:tc>
                <w:tcPr>
                  <w:tcW w:w="1926" w:type="dxa"/>
                  <w:vMerge w:val="restart"/>
                  <w:noWrap/>
                  <w:vAlign w:val="center"/>
                  <w:hideMark/>
                </w:tcPr>
                <w:p w14:paraId="1534D091"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应用领域</w:t>
                  </w:r>
                </w:p>
              </w:tc>
              <w:tc>
                <w:tcPr>
                  <w:tcW w:w="2638" w:type="dxa"/>
                  <w:gridSpan w:val="2"/>
                  <w:noWrap/>
                  <w:vAlign w:val="center"/>
                  <w:hideMark/>
                </w:tcPr>
                <w:p w14:paraId="2632068C"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2018</w:t>
                  </w:r>
                  <w:r w:rsidRPr="004E35F2">
                    <w:rPr>
                      <w:rFonts w:ascii="Times New Roman" w:hAnsi="Times New Roman"/>
                      <w:b/>
                      <w:color w:val="000000"/>
                      <w:kern w:val="0"/>
                    </w:rPr>
                    <w:t>年</w:t>
                  </w:r>
                  <w:r w:rsidRPr="004E35F2">
                    <w:rPr>
                      <w:rFonts w:ascii="Times New Roman" w:hAnsi="Times New Roman"/>
                      <w:b/>
                      <w:color w:val="000000"/>
                      <w:kern w:val="0"/>
                    </w:rPr>
                    <w:t>1~6</w:t>
                  </w:r>
                  <w:r w:rsidRPr="004E35F2">
                    <w:rPr>
                      <w:rFonts w:ascii="Times New Roman" w:hAnsi="Times New Roman"/>
                      <w:b/>
                      <w:color w:val="000000"/>
                      <w:kern w:val="0"/>
                    </w:rPr>
                    <w:t>月</w:t>
                  </w:r>
                </w:p>
              </w:tc>
              <w:tc>
                <w:tcPr>
                  <w:tcW w:w="2999" w:type="dxa"/>
                  <w:vMerge w:val="restart"/>
                  <w:noWrap/>
                  <w:vAlign w:val="center"/>
                  <w:hideMark/>
                </w:tcPr>
                <w:p w14:paraId="6831E15A"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主要客户</w:t>
                  </w:r>
                </w:p>
              </w:tc>
            </w:tr>
            <w:tr w:rsidR="004B28F8" w:rsidRPr="004E35F2" w14:paraId="12D3B6FF" w14:textId="77777777" w:rsidTr="009318AE">
              <w:trPr>
                <w:trHeight w:val="278"/>
              </w:trPr>
              <w:tc>
                <w:tcPr>
                  <w:tcW w:w="1926" w:type="dxa"/>
                  <w:vMerge/>
                  <w:vAlign w:val="center"/>
                  <w:hideMark/>
                </w:tcPr>
                <w:p w14:paraId="633DC112" w14:textId="77777777" w:rsidR="005018E3" w:rsidRPr="004E35F2" w:rsidRDefault="005018E3" w:rsidP="005018E3">
                  <w:pPr>
                    <w:widowControl/>
                    <w:jc w:val="left"/>
                    <w:rPr>
                      <w:rFonts w:ascii="Times New Roman" w:hAnsi="Times New Roman"/>
                      <w:color w:val="000000"/>
                      <w:kern w:val="0"/>
                    </w:rPr>
                  </w:pPr>
                </w:p>
              </w:tc>
              <w:tc>
                <w:tcPr>
                  <w:tcW w:w="1646" w:type="dxa"/>
                  <w:noWrap/>
                  <w:vAlign w:val="center"/>
                  <w:hideMark/>
                </w:tcPr>
                <w:p w14:paraId="190149CA" w14:textId="77777777" w:rsidR="005018E3" w:rsidRPr="004E35F2" w:rsidRDefault="005018E3" w:rsidP="009318AE">
                  <w:pPr>
                    <w:widowControl/>
                    <w:jc w:val="center"/>
                    <w:rPr>
                      <w:rFonts w:ascii="Times New Roman" w:hAnsi="Times New Roman"/>
                      <w:b/>
                      <w:color w:val="000000"/>
                      <w:kern w:val="0"/>
                    </w:rPr>
                  </w:pPr>
                  <w:r w:rsidRPr="004E35F2">
                    <w:rPr>
                      <w:rFonts w:ascii="Times New Roman" w:hAnsi="Times New Roman"/>
                      <w:b/>
                      <w:color w:val="000000"/>
                      <w:kern w:val="0"/>
                    </w:rPr>
                    <w:t>主营业务收入</w:t>
                  </w:r>
                </w:p>
                <w:p w14:paraId="5324B6DD" w14:textId="16A1AF7D" w:rsidR="009318AE" w:rsidRPr="004E35F2" w:rsidRDefault="009318AE" w:rsidP="009318AE">
                  <w:pPr>
                    <w:widowControl/>
                    <w:jc w:val="center"/>
                    <w:rPr>
                      <w:rFonts w:ascii="Times New Roman" w:hAnsi="Times New Roman"/>
                      <w:b/>
                      <w:color w:val="000000"/>
                      <w:kern w:val="0"/>
                    </w:rPr>
                  </w:pPr>
                  <w:r w:rsidRPr="004E35F2">
                    <w:rPr>
                      <w:rFonts w:ascii="Times New Roman" w:hAnsi="Times New Roman"/>
                      <w:b/>
                      <w:color w:val="000000"/>
                      <w:kern w:val="0"/>
                    </w:rPr>
                    <w:t>（万元）</w:t>
                  </w:r>
                </w:p>
              </w:tc>
              <w:tc>
                <w:tcPr>
                  <w:tcW w:w="992" w:type="dxa"/>
                  <w:noWrap/>
                  <w:vAlign w:val="center"/>
                  <w:hideMark/>
                </w:tcPr>
                <w:p w14:paraId="5854A21F"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比重</w:t>
                  </w:r>
                </w:p>
                <w:p w14:paraId="428828A2" w14:textId="31CB43C1" w:rsidR="009318AE" w:rsidRPr="004E35F2" w:rsidRDefault="009318AE" w:rsidP="005018E3">
                  <w:pPr>
                    <w:widowControl/>
                    <w:jc w:val="center"/>
                    <w:rPr>
                      <w:rFonts w:ascii="Times New Roman" w:hAnsi="Times New Roman"/>
                      <w:b/>
                      <w:color w:val="000000"/>
                      <w:kern w:val="0"/>
                    </w:rPr>
                  </w:pPr>
                  <w:r w:rsidRPr="004E35F2">
                    <w:rPr>
                      <w:rFonts w:ascii="Times New Roman" w:hAnsi="Times New Roman"/>
                      <w:b/>
                      <w:color w:val="000000"/>
                      <w:kern w:val="0"/>
                    </w:rPr>
                    <w:t>（</w:t>
                  </w:r>
                  <w:r w:rsidRPr="004E35F2">
                    <w:rPr>
                      <w:rFonts w:ascii="Times New Roman" w:hAnsi="Times New Roman"/>
                      <w:b/>
                      <w:color w:val="000000"/>
                      <w:kern w:val="0"/>
                    </w:rPr>
                    <w:t>%</w:t>
                  </w:r>
                  <w:r w:rsidRPr="004E35F2">
                    <w:rPr>
                      <w:rFonts w:ascii="Times New Roman" w:hAnsi="Times New Roman"/>
                      <w:b/>
                      <w:color w:val="000000"/>
                      <w:kern w:val="0"/>
                    </w:rPr>
                    <w:t>）</w:t>
                  </w:r>
                </w:p>
              </w:tc>
              <w:tc>
                <w:tcPr>
                  <w:tcW w:w="2999" w:type="dxa"/>
                  <w:vMerge/>
                  <w:vAlign w:val="center"/>
                  <w:hideMark/>
                </w:tcPr>
                <w:p w14:paraId="7C8B9B5A" w14:textId="77777777" w:rsidR="005018E3" w:rsidRPr="004E35F2" w:rsidRDefault="005018E3" w:rsidP="005018E3">
                  <w:pPr>
                    <w:widowControl/>
                    <w:jc w:val="left"/>
                    <w:rPr>
                      <w:rFonts w:ascii="Times New Roman" w:hAnsi="Times New Roman"/>
                      <w:color w:val="000000"/>
                      <w:kern w:val="0"/>
                    </w:rPr>
                  </w:pPr>
                </w:p>
              </w:tc>
            </w:tr>
            <w:tr w:rsidR="004B28F8" w:rsidRPr="004E35F2" w14:paraId="6A1095E8" w14:textId="77777777" w:rsidTr="009318AE">
              <w:trPr>
                <w:trHeight w:val="278"/>
              </w:trPr>
              <w:tc>
                <w:tcPr>
                  <w:tcW w:w="1926" w:type="dxa"/>
                  <w:noWrap/>
                  <w:vAlign w:val="center"/>
                  <w:hideMark/>
                </w:tcPr>
                <w:p w14:paraId="5F200C4F" w14:textId="77777777" w:rsidR="005018E3" w:rsidRPr="004E35F2" w:rsidRDefault="005018E3" w:rsidP="005B3724">
                  <w:pPr>
                    <w:widowControl/>
                    <w:jc w:val="center"/>
                    <w:rPr>
                      <w:rFonts w:ascii="Times New Roman" w:hAnsi="Times New Roman"/>
                      <w:color w:val="000000"/>
                      <w:kern w:val="0"/>
                    </w:rPr>
                  </w:pPr>
                  <w:r w:rsidRPr="004E35F2">
                    <w:rPr>
                      <w:rFonts w:ascii="Times New Roman" w:hAnsi="Times New Roman"/>
                      <w:color w:val="000000"/>
                      <w:kern w:val="0"/>
                    </w:rPr>
                    <w:t>风力发电</w:t>
                  </w:r>
                </w:p>
              </w:tc>
              <w:tc>
                <w:tcPr>
                  <w:tcW w:w="1646" w:type="dxa"/>
                  <w:noWrap/>
                  <w:vAlign w:val="center"/>
                  <w:hideMark/>
                </w:tcPr>
                <w:p w14:paraId="6B850AF6"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 xml:space="preserve">16,681.43 </w:t>
                  </w:r>
                </w:p>
              </w:tc>
              <w:tc>
                <w:tcPr>
                  <w:tcW w:w="992" w:type="dxa"/>
                  <w:noWrap/>
                  <w:vAlign w:val="center"/>
                  <w:hideMark/>
                </w:tcPr>
                <w:p w14:paraId="6A027E85"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27.24%</w:t>
                  </w:r>
                </w:p>
              </w:tc>
              <w:tc>
                <w:tcPr>
                  <w:tcW w:w="2999" w:type="dxa"/>
                  <w:noWrap/>
                  <w:vAlign w:val="center"/>
                  <w:hideMark/>
                </w:tcPr>
                <w:p w14:paraId="7CBC9798" w14:textId="77777777" w:rsidR="005018E3" w:rsidRPr="004E35F2" w:rsidRDefault="005018E3" w:rsidP="005018E3">
                  <w:pPr>
                    <w:widowControl/>
                    <w:jc w:val="left"/>
                    <w:rPr>
                      <w:rFonts w:ascii="Times New Roman" w:hAnsi="Times New Roman"/>
                      <w:color w:val="000000"/>
                      <w:kern w:val="0"/>
                    </w:rPr>
                  </w:pPr>
                  <w:r w:rsidRPr="004E35F2">
                    <w:rPr>
                      <w:rFonts w:ascii="Times New Roman" w:hAnsi="Times New Roman"/>
                      <w:color w:val="000000"/>
                      <w:kern w:val="0"/>
                    </w:rPr>
                    <w:t>金风科技、西门子</w:t>
                  </w:r>
                  <w:r w:rsidRPr="004E35F2">
                    <w:rPr>
                      <w:rFonts w:ascii="Times New Roman" w:hAnsi="Times New Roman"/>
                      <w:color w:val="000000"/>
                      <w:kern w:val="0"/>
                    </w:rPr>
                    <w:t>-</w:t>
                  </w:r>
                  <w:r w:rsidRPr="004E35F2">
                    <w:rPr>
                      <w:rFonts w:ascii="Times New Roman" w:hAnsi="Times New Roman"/>
                      <w:color w:val="000000"/>
                      <w:kern w:val="0"/>
                    </w:rPr>
                    <w:t>歌美</w:t>
                  </w:r>
                  <w:proofErr w:type="gramStart"/>
                  <w:r w:rsidRPr="004E35F2">
                    <w:rPr>
                      <w:rFonts w:ascii="Times New Roman" w:hAnsi="Times New Roman"/>
                      <w:color w:val="000000"/>
                      <w:kern w:val="0"/>
                    </w:rPr>
                    <w:t>飒</w:t>
                  </w:r>
                  <w:proofErr w:type="gramEnd"/>
                  <w:r w:rsidRPr="004E35F2">
                    <w:rPr>
                      <w:rFonts w:ascii="Times New Roman" w:hAnsi="Times New Roman"/>
                      <w:color w:val="000000"/>
                      <w:kern w:val="0"/>
                    </w:rPr>
                    <w:t>、中国中车、南京汽轮、</w:t>
                  </w:r>
                  <w:proofErr w:type="gramStart"/>
                  <w:r w:rsidRPr="004E35F2">
                    <w:rPr>
                      <w:rFonts w:ascii="Times New Roman" w:hAnsi="Times New Roman"/>
                      <w:color w:val="000000"/>
                      <w:kern w:val="0"/>
                    </w:rPr>
                    <w:t>湘电股份</w:t>
                  </w:r>
                  <w:proofErr w:type="gramEnd"/>
                </w:p>
              </w:tc>
            </w:tr>
            <w:tr w:rsidR="004B28F8" w:rsidRPr="004E35F2" w14:paraId="5CBBFD9D" w14:textId="77777777" w:rsidTr="009318AE">
              <w:trPr>
                <w:trHeight w:val="278"/>
              </w:trPr>
              <w:tc>
                <w:tcPr>
                  <w:tcW w:w="1926" w:type="dxa"/>
                  <w:noWrap/>
                  <w:vAlign w:val="center"/>
                  <w:hideMark/>
                </w:tcPr>
                <w:p w14:paraId="1953D082" w14:textId="77777777" w:rsidR="005018E3" w:rsidRPr="004E35F2" w:rsidRDefault="005018E3" w:rsidP="005B3724">
                  <w:pPr>
                    <w:widowControl/>
                    <w:jc w:val="center"/>
                    <w:rPr>
                      <w:rFonts w:ascii="Times New Roman" w:hAnsi="Times New Roman"/>
                      <w:color w:val="000000"/>
                      <w:kern w:val="0"/>
                    </w:rPr>
                  </w:pPr>
                  <w:r w:rsidRPr="004E35F2">
                    <w:rPr>
                      <w:rFonts w:ascii="Times New Roman" w:hAnsi="Times New Roman"/>
                      <w:color w:val="000000"/>
                      <w:kern w:val="0"/>
                    </w:rPr>
                    <w:t>新能源汽车及汽车零部件</w:t>
                  </w:r>
                </w:p>
              </w:tc>
              <w:tc>
                <w:tcPr>
                  <w:tcW w:w="1646" w:type="dxa"/>
                  <w:noWrap/>
                  <w:vAlign w:val="center"/>
                  <w:hideMark/>
                </w:tcPr>
                <w:p w14:paraId="3F72BBEE"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 xml:space="preserve">13,183.87 </w:t>
                  </w:r>
                </w:p>
              </w:tc>
              <w:tc>
                <w:tcPr>
                  <w:tcW w:w="992" w:type="dxa"/>
                  <w:noWrap/>
                  <w:vAlign w:val="center"/>
                  <w:hideMark/>
                </w:tcPr>
                <w:p w14:paraId="2FA075D9"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21.53%</w:t>
                  </w:r>
                </w:p>
              </w:tc>
              <w:tc>
                <w:tcPr>
                  <w:tcW w:w="2999" w:type="dxa"/>
                  <w:noWrap/>
                  <w:vAlign w:val="center"/>
                  <w:hideMark/>
                </w:tcPr>
                <w:p w14:paraId="39D5DE40" w14:textId="77777777" w:rsidR="005018E3" w:rsidRPr="004E35F2" w:rsidRDefault="005018E3" w:rsidP="005018E3">
                  <w:pPr>
                    <w:widowControl/>
                    <w:jc w:val="left"/>
                    <w:rPr>
                      <w:rFonts w:ascii="Times New Roman" w:hAnsi="Times New Roman"/>
                      <w:color w:val="000000"/>
                      <w:kern w:val="0"/>
                    </w:rPr>
                  </w:pPr>
                  <w:r w:rsidRPr="004E35F2">
                    <w:rPr>
                      <w:rFonts w:ascii="Times New Roman" w:hAnsi="Times New Roman"/>
                      <w:color w:val="000000"/>
                      <w:kern w:val="0"/>
                    </w:rPr>
                    <w:t>博士集团、联合电子、比亚迪</w:t>
                  </w:r>
                </w:p>
              </w:tc>
            </w:tr>
            <w:tr w:rsidR="004B28F8" w:rsidRPr="004E35F2" w14:paraId="39435D1C" w14:textId="77777777" w:rsidTr="009318AE">
              <w:trPr>
                <w:trHeight w:val="278"/>
              </w:trPr>
              <w:tc>
                <w:tcPr>
                  <w:tcW w:w="1926" w:type="dxa"/>
                  <w:noWrap/>
                  <w:vAlign w:val="center"/>
                  <w:hideMark/>
                </w:tcPr>
                <w:p w14:paraId="32FD4B00" w14:textId="77777777" w:rsidR="005018E3" w:rsidRPr="004E35F2" w:rsidRDefault="005018E3" w:rsidP="005B3724">
                  <w:pPr>
                    <w:widowControl/>
                    <w:jc w:val="center"/>
                    <w:rPr>
                      <w:rFonts w:ascii="Times New Roman" w:hAnsi="Times New Roman"/>
                      <w:color w:val="000000"/>
                      <w:kern w:val="0"/>
                    </w:rPr>
                  </w:pPr>
                  <w:r w:rsidRPr="004E35F2">
                    <w:rPr>
                      <w:rFonts w:ascii="Times New Roman" w:hAnsi="Times New Roman"/>
                      <w:color w:val="000000"/>
                      <w:kern w:val="0"/>
                    </w:rPr>
                    <w:t>节能变频空调</w:t>
                  </w:r>
                </w:p>
              </w:tc>
              <w:tc>
                <w:tcPr>
                  <w:tcW w:w="1646" w:type="dxa"/>
                  <w:noWrap/>
                  <w:vAlign w:val="center"/>
                  <w:hideMark/>
                </w:tcPr>
                <w:p w14:paraId="3A33061C"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 xml:space="preserve">21,119.73 </w:t>
                  </w:r>
                </w:p>
              </w:tc>
              <w:tc>
                <w:tcPr>
                  <w:tcW w:w="992" w:type="dxa"/>
                  <w:noWrap/>
                  <w:vAlign w:val="center"/>
                  <w:hideMark/>
                </w:tcPr>
                <w:p w14:paraId="527E221C"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34.48%</w:t>
                  </w:r>
                </w:p>
              </w:tc>
              <w:tc>
                <w:tcPr>
                  <w:tcW w:w="2999" w:type="dxa"/>
                  <w:noWrap/>
                  <w:vAlign w:val="center"/>
                  <w:hideMark/>
                </w:tcPr>
                <w:p w14:paraId="4BEF6004" w14:textId="77777777" w:rsidR="005018E3" w:rsidRPr="004E35F2" w:rsidRDefault="005018E3" w:rsidP="005018E3">
                  <w:pPr>
                    <w:widowControl/>
                    <w:jc w:val="left"/>
                    <w:rPr>
                      <w:rFonts w:ascii="Times New Roman" w:hAnsi="Times New Roman"/>
                      <w:color w:val="000000"/>
                      <w:kern w:val="0"/>
                    </w:rPr>
                  </w:pPr>
                  <w:r w:rsidRPr="004E35F2">
                    <w:rPr>
                      <w:rFonts w:ascii="Times New Roman" w:hAnsi="Times New Roman"/>
                      <w:color w:val="000000"/>
                      <w:kern w:val="0"/>
                    </w:rPr>
                    <w:t>三菱、美的、上海海立、格</w:t>
                  </w:r>
                  <w:proofErr w:type="gramStart"/>
                  <w:r w:rsidRPr="004E35F2">
                    <w:rPr>
                      <w:rFonts w:ascii="Times New Roman" w:hAnsi="Times New Roman"/>
                      <w:color w:val="000000"/>
                      <w:kern w:val="0"/>
                    </w:rPr>
                    <w:t>力凌达</w:t>
                  </w:r>
                  <w:proofErr w:type="gramEnd"/>
                </w:p>
              </w:tc>
            </w:tr>
            <w:tr w:rsidR="004B28F8" w:rsidRPr="004E35F2" w14:paraId="06296230" w14:textId="77777777" w:rsidTr="009318AE">
              <w:trPr>
                <w:trHeight w:val="278"/>
              </w:trPr>
              <w:tc>
                <w:tcPr>
                  <w:tcW w:w="1926" w:type="dxa"/>
                  <w:noWrap/>
                  <w:vAlign w:val="center"/>
                  <w:hideMark/>
                </w:tcPr>
                <w:p w14:paraId="6857C4F9" w14:textId="77777777" w:rsidR="005018E3" w:rsidRPr="004E35F2" w:rsidRDefault="005018E3" w:rsidP="005B3724">
                  <w:pPr>
                    <w:widowControl/>
                    <w:jc w:val="center"/>
                    <w:rPr>
                      <w:rFonts w:ascii="Times New Roman" w:hAnsi="Times New Roman"/>
                      <w:color w:val="000000"/>
                      <w:kern w:val="0"/>
                    </w:rPr>
                  </w:pPr>
                  <w:r w:rsidRPr="004E35F2">
                    <w:rPr>
                      <w:rFonts w:ascii="Times New Roman" w:hAnsi="Times New Roman"/>
                      <w:color w:val="000000"/>
                      <w:kern w:val="0"/>
                    </w:rPr>
                    <w:t>节能电梯</w:t>
                  </w:r>
                </w:p>
              </w:tc>
              <w:tc>
                <w:tcPr>
                  <w:tcW w:w="1646" w:type="dxa"/>
                  <w:noWrap/>
                  <w:vAlign w:val="center"/>
                  <w:hideMark/>
                </w:tcPr>
                <w:p w14:paraId="0A2C8171"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 xml:space="preserve">2,006.77 </w:t>
                  </w:r>
                </w:p>
              </w:tc>
              <w:tc>
                <w:tcPr>
                  <w:tcW w:w="992" w:type="dxa"/>
                  <w:noWrap/>
                  <w:vAlign w:val="center"/>
                  <w:hideMark/>
                </w:tcPr>
                <w:p w14:paraId="686E7EA0"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3.28%</w:t>
                  </w:r>
                </w:p>
              </w:tc>
              <w:tc>
                <w:tcPr>
                  <w:tcW w:w="2999" w:type="dxa"/>
                  <w:noWrap/>
                  <w:vAlign w:val="center"/>
                  <w:hideMark/>
                </w:tcPr>
                <w:p w14:paraId="71FCB144" w14:textId="77777777" w:rsidR="005018E3" w:rsidRPr="004E35F2" w:rsidRDefault="005018E3" w:rsidP="005018E3">
                  <w:pPr>
                    <w:widowControl/>
                    <w:jc w:val="left"/>
                    <w:rPr>
                      <w:rFonts w:ascii="Times New Roman" w:hAnsi="Times New Roman"/>
                      <w:color w:val="000000"/>
                      <w:kern w:val="0"/>
                    </w:rPr>
                  </w:pPr>
                  <w:r w:rsidRPr="004E35F2">
                    <w:rPr>
                      <w:rFonts w:ascii="Times New Roman" w:hAnsi="Times New Roman"/>
                      <w:color w:val="000000"/>
                      <w:kern w:val="0"/>
                    </w:rPr>
                    <w:t>通力电梯</w:t>
                  </w:r>
                </w:p>
              </w:tc>
            </w:tr>
            <w:tr w:rsidR="004B28F8" w:rsidRPr="004E35F2" w14:paraId="68C008C5" w14:textId="77777777" w:rsidTr="009318AE">
              <w:trPr>
                <w:trHeight w:val="278"/>
              </w:trPr>
              <w:tc>
                <w:tcPr>
                  <w:tcW w:w="1926" w:type="dxa"/>
                  <w:noWrap/>
                  <w:vAlign w:val="center"/>
                  <w:hideMark/>
                </w:tcPr>
                <w:p w14:paraId="7CA86EE0" w14:textId="77777777" w:rsidR="005018E3" w:rsidRPr="004E35F2" w:rsidRDefault="005018E3" w:rsidP="005B3724">
                  <w:pPr>
                    <w:widowControl/>
                    <w:jc w:val="center"/>
                    <w:rPr>
                      <w:rFonts w:ascii="Times New Roman" w:hAnsi="Times New Roman"/>
                      <w:color w:val="000000"/>
                      <w:kern w:val="0"/>
                    </w:rPr>
                  </w:pPr>
                  <w:r w:rsidRPr="004E35F2">
                    <w:rPr>
                      <w:rFonts w:ascii="Times New Roman" w:hAnsi="Times New Roman"/>
                      <w:color w:val="000000"/>
                      <w:kern w:val="0"/>
                    </w:rPr>
                    <w:t>机器人及智能制造</w:t>
                  </w:r>
                </w:p>
              </w:tc>
              <w:tc>
                <w:tcPr>
                  <w:tcW w:w="1646" w:type="dxa"/>
                  <w:noWrap/>
                  <w:vAlign w:val="center"/>
                  <w:hideMark/>
                </w:tcPr>
                <w:p w14:paraId="64B2845A"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 xml:space="preserve">3,967.15 </w:t>
                  </w:r>
                </w:p>
              </w:tc>
              <w:tc>
                <w:tcPr>
                  <w:tcW w:w="992" w:type="dxa"/>
                  <w:noWrap/>
                  <w:vAlign w:val="center"/>
                  <w:hideMark/>
                </w:tcPr>
                <w:p w14:paraId="2F8C7000"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6.48%</w:t>
                  </w:r>
                </w:p>
              </w:tc>
              <w:tc>
                <w:tcPr>
                  <w:tcW w:w="2999" w:type="dxa"/>
                  <w:noWrap/>
                  <w:vAlign w:val="center"/>
                  <w:hideMark/>
                </w:tcPr>
                <w:p w14:paraId="39B17AC7" w14:textId="77777777" w:rsidR="005018E3" w:rsidRPr="004E35F2" w:rsidRDefault="005018E3" w:rsidP="005018E3">
                  <w:pPr>
                    <w:widowControl/>
                    <w:jc w:val="left"/>
                    <w:rPr>
                      <w:rFonts w:ascii="Times New Roman" w:hAnsi="Times New Roman"/>
                      <w:color w:val="000000"/>
                      <w:kern w:val="0"/>
                    </w:rPr>
                  </w:pPr>
                  <w:r w:rsidRPr="004E35F2">
                    <w:rPr>
                      <w:rFonts w:ascii="Times New Roman" w:hAnsi="Times New Roman"/>
                      <w:color w:val="000000"/>
                      <w:kern w:val="0"/>
                    </w:rPr>
                    <w:t>博</w:t>
                  </w:r>
                  <w:proofErr w:type="gramStart"/>
                  <w:r w:rsidRPr="004E35F2">
                    <w:rPr>
                      <w:rFonts w:ascii="Times New Roman" w:hAnsi="Times New Roman"/>
                      <w:color w:val="000000"/>
                      <w:kern w:val="0"/>
                    </w:rPr>
                    <w:t>世</w:t>
                  </w:r>
                  <w:proofErr w:type="gramEnd"/>
                  <w:r w:rsidRPr="004E35F2">
                    <w:rPr>
                      <w:rFonts w:ascii="Times New Roman" w:hAnsi="Times New Roman"/>
                      <w:color w:val="000000"/>
                      <w:kern w:val="0"/>
                    </w:rPr>
                    <w:t>力士乐、汇</w:t>
                  </w:r>
                  <w:proofErr w:type="gramStart"/>
                  <w:r w:rsidRPr="004E35F2">
                    <w:rPr>
                      <w:rFonts w:ascii="Times New Roman" w:hAnsi="Times New Roman"/>
                      <w:color w:val="000000"/>
                      <w:kern w:val="0"/>
                    </w:rPr>
                    <w:t>川技术</w:t>
                  </w:r>
                  <w:proofErr w:type="gramEnd"/>
                </w:p>
              </w:tc>
            </w:tr>
            <w:tr w:rsidR="004B28F8" w:rsidRPr="004E35F2" w14:paraId="5B904F32" w14:textId="77777777" w:rsidTr="009318AE">
              <w:trPr>
                <w:trHeight w:val="278"/>
              </w:trPr>
              <w:tc>
                <w:tcPr>
                  <w:tcW w:w="1926" w:type="dxa"/>
                  <w:noWrap/>
                  <w:vAlign w:val="center"/>
                  <w:hideMark/>
                </w:tcPr>
                <w:p w14:paraId="2A1D5DA9" w14:textId="77777777" w:rsidR="005018E3" w:rsidRPr="004E35F2" w:rsidRDefault="005018E3" w:rsidP="005B3724">
                  <w:pPr>
                    <w:widowControl/>
                    <w:jc w:val="center"/>
                    <w:rPr>
                      <w:rFonts w:ascii="Times New Roman" w:hAnsi="Times New Roman"/>
                      <w:color w:val="000000"/>
                      <w:kern w:val="0"/>
                    </w:rPr>
                  </w:pPr>
                  <w:r w:rsidRPr="004E35F2">
                    <w:rPr>
                      <w:rFonts w:ascii="Times New Roman" w:hAnsi="Times New Roman"/>
                      <w:color w:val="000000"/>
                      <w:kern w:val="0"/>
                    </w:rPr>
                    <w:t>其他</w:t>
                  </w:r>
                </w:p>
              </w:tc>
              <w:tc>
                <w:tcPr>
                  <w:tcW w:w="1646" w:type="dxa"/>
                  <w:noWrap/>
                  <w:vAlign w:val="center"/>
                  <w:hideMark/>
                </w:tcPr>
                <w:p w14:paraId="439EEC0B"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 xml:space="preserve">4,288.16 </w:t>
                  </w:r>
                </w:p>
              </w:tc>
              <w:tc>
                <w:tcPr>
                  <w:tcW w:w="992" w:type="dxa"/>
                  <w:noWrap/>
                  <w:vAlign w:val="center"/>
                  <w:hideMark/>
                </w:tcPr>
                <w:p w14:paraId="42D23F0F" w14:textId="77777777" w:rsidR="005018E3" w:rsidRPr="004E35F2" w:rsidRDefault="005018E3" w:rsidP="005018E3">
                  <w:pPr>
                    <w:widowControl/>
                    <w:jc w:val="right"/>
                    <w:rPr>
                      <w:rFonts w:ascii="Times New Roman" w:hAnsi="Times New Roman"/>
                      <w:color w:val="000000"/>
                      <w:kern w:val="0"/>
                    </w:rPr>
                  </w:pPr>
                  <w:r w:rsidRPr="004E35F2">
                    <w:rPr>
                      <w:rFonts w:ascii="Times New Roman" w:hAnsi="Times New Roman"/>
                      <w:color w:val="000000"/>
                      <w:kern w:val="0"/>
                    </w:rPr>
                    <w:t>7.00%</w:t>
                  </w:r>
                </w:p>
              </w:tc>
              <w:tc>
                <w:tcPr>
                  <w:tcW w:w="2999" w:type="dxa"/>
                  <w:noWrap/>
                  <w:vAlign w:val="center"/>
                  <w:hideMark/>
                </w:tcPr>
                <w:p w14:paraId="16C9ECDB" w14:textId="77777777" w:rsidR="005018E3" w:rsidRPr="004E35F2" w:rsidRDefault="005018E3" w:rsidP="005018E3">
                  <w:pPr>
                    <w:widowControl/>
                    <w:jc w:val="left"/>
                    <w:rPr>
                      <w:rFonts w:ascii="Times New Roman" w:hAnsi="Times New Roman"/>
                      <w:color w:val="000000"/>
                      <w:kern w:val="0"/>
                    </w:rPr>
                  </w:pPr>
                  <w:r w:rsidRPr="004E35F2">
                    <w:rPr>
                      <w:rFonts w:ascii="Times New Roman" w:hAnsi="Times New Roman"/>
                      <w:color w:val="000000"/>
                      <w:kern w:val="0"/>
                    </w:rPr>
                    <w:t>—</w:t>
                  </w:r>
                </w:p>
              </w:tc>
            </w:tr>
            <w:tr w:rsidR="004B28F8" w:rsidRPr="004E35F2" w14:paraId="02482BA8" w14:textId="77777777" w:rsidTr="009318AE">
              <w:trPr>
                <w:trHeight w:val="278"/>
              </w:trPr>
              <w:tc>
                <w:tcPr>
                  <w:tcW w:w="1926" w:type="dxa"/>
                  <w:noWrap/>
                  <w:vAlign w:val="center"/>
                  <w:hideMark/>
                </w:tcPr>
                <w:p w14:paraId="4A3B0F80" w14:textId="77777777" w:rsidR="005018E3" w:rsidRPr="004E35F2" w:rsidRDefault="005018E3" w:rsidP="005018E3">
                  <w:pPr>
                    <w:widowControl/>
                    <w:jc w:val="center"/>
                    <w:rPr>
                      <w:rFonts w:ascii="Times New Roman" w:hAnsi="Times New Roman"/>
                      <w:b/>
                      <w:color w:val="000000"/>
                      <w:kern w:val="0"/>
                    </w:rPr>
                  </w:pPr>
                  <w:r w:rsidRPr="004E35F2">
                    <w:rPr>
                      <w:rFonts w:ascii="Times New Roman" w:hAnsi="Times New Roman"/>
                      <w:b/>
                      <w:color w:val="000000"/>
                      <w:kern w:val="0"/>
                    </w:rPr>
                    <w:t>合计</w:t>
                  </w:r>
                </w:p>
              </w:tc>
              <w:tc>
                <w:tcPr>
                  <w:tcW w:w="1646" w:type="dxa"/>
                  <w:noWrap/>
                  <w:vAlign w:val="center"/>
                  <w:hideMark/>
                </w:tcPr>
                <w:p w14:paraId="56CE6F46" w14:textId="77777777" w:rsidR="005018E3" w:rsidRPr="004E35F2" w:rsidRDefault="005018E3" w:rsidP="005018E3">
                  <w:pPr>
                    <w:widowControl/>
                    <w:jc w:val="right"/>
                    <w:rPr>
                      <w:rFonts w:ascii="Times New Roman" w:hAnsi="Times New Roman"/>
                      <w:b/>
                      <w:color w:val="000000"/>
                      <w:kern w:val="0"/>
                    </w:rPr>
                  </w:pPr>
                  <w:r w:rsidRPr="004E35F2">
                    <w:rPr>
                      <w:rFonts w:ascii="Times New Roman" w:hAnsi="Times New Roman"/>
                      <w:b/>
                      <w:color w:val="000000"/>
                      <w:kern w:val="0"/>
                    </w:rPr>
                    <w:t xml:space="preserve">61,247.12 </w:t>
                  </w:r>
                </w:p>
              </w:tc>
              <w:tc>
                <w:tcPr>
                  <w:tcW w:w="992" w:type="dxa"/>
                  <w:noWrap/>
                  <w:vAlign w:val="center"/>
                  <w:hideMark/>
                </w:tcPr>
                <w:p w14:paraId="488FBF19" w14:textId="77777777" w:rsidR="005018E3" w:rsidRPr="004E35F2" w:rsidRDefault="005018E3" w:rsidP="005018E3">
                  <w:pPr>
                    <w:widowControl/>
                    <w:jc w:val="right"/>
                    <w:rPr>
                      <w:rFonts w:ascii="Times New Roman" w:hAnsi="Times New Roman"/>
                      <w:b/>
                      <w:color w:val="000000"/>
                      <w:kern w:val="0"/>
                    </w:rPr>
                  </w:pPr>
                  <w:r w:rsidRPr="004E35F2">
                    <w:rPr>
                      <w:rFonts w:ascii="Times New Roman" w:hAnsi="Times New Roman"/>
                      <w:b/>
                      <w:color w:val="000000"/>
                      <w:kern w:val="0"/>
                    </w:rPr>
                    <w:t>100.00%</w:t>
                  </w:r>
                </w:p>
              </w:tc>
              <w:tc>
                <w:tcPr>
                  <w:tcW w:w="2999" w:type="dxa"/>
                  <w:noWrap/>
                  <w:vAlign w:val="center"/>
                  <w:hideMark/>
                </w:tcPr>
                <w:p w14:paraId="4DA306C9" w14:textId="77777777" w:rsidR="005018E3" w:rsidRPr="004E35F2" w:rsidRDefault="005018E3" w:rsidP="005018E3">
                  <w:pPr>
                    <w:widowControl/>
                    <w:jc w:val="right"/>
                    <w:rPr>
                      <w:rFonts w:ascii="Times New Roman" w:hAnsi="Times New Roman"/>
                      <w:b/>
                      <w:color w:val="000000"/>
                      <w:kern w:val="0"/>
                    </w:rPr>
                  </w:pPr>
                </w:p>
              </w:tc>
            </w:tr>
          </w:tbl>
          <w:p w14:paraId="5866A2E6" w14:textId="77777777" w:rsidR="000F4972" w:rsidRPr="004E35F2" w:rsidRDefault="000F4972" w:rsidP="006F4DEC">
            <w:pPr>
              <w:spacing w:line="480" w:lineRule="atLeast"/>
              <w:rPr>
                <w:rFonts w:ascii="Times New Roman" w:hAnsi="Times New Roman"/>
                <w:b/>
                <w:bCs/>
                <w:iCs/>
                <w:sz w:val="24"/>
              </w:rPr>
            </w:pPr>
          </w:p>
          <w:p w14:paraId="1070BCB7" w14:textId="7AB04C28" w:rsidR="006F4DEC" w:rsidRPr="004E35F2" w:rsidRDefault="00D94422" w:rsidP="006F4DEC">
            <w:pPr>
              <w:spacing w:line="480" w:lineRule="atLeast"/>
              <w:rPr>
                <w:rFonts w:ascii="Times New Roman" w:hAnsi="Times New Roman"/>
                <w:b/>
                <w:bCs/>
                <w:iCs/>
                <w:sz w:val="24"/>
              </w:rPr>
            </w:pPr>
            <w:r w:rsidRPr="004E35F2">
              <w:rPr>
                <w:rFonts w:ascii="Times New Roman" w:hAnsi="Times New Roman"/>
                <w:b/>
                <w:bCs/>
                <w:iCs/>
                <w:sz w:val="24"/>
              </w:rPr>
              <w:t>3</w:t>
            </w:r>
            <w:r w:rsidR="006F4DEC" w:rsidRPr="004E35F2">
              <w:rPr>
                <w:rFonts w:ascii="Times New Roman" w:hAnsi="Times New Roman"/>
                <w:b/>
                <w:bCs/>
                <w:iCs/>
                <w:sz w:val="24"/>
              </w:rPr>
              <w:t>、问：</w:t>
            </w:r>
            <w:r w:rsidR="00D31414" w:rsidRPr="004E35F2">
              <w:rPr>
                <w:rFonts w:ascii="Times New Roman" w:hAnsi="Times New Roman"/>
                <w:b/>
                <w:bCs/>
                <w:iCs/>
                <w:sz w:val="24"/>
              </w:rPr>
              <w:t>请问贵公司</w:t>
            </w:r>
            <w:r w:rsidR="009318AE" w:rsidRPr="004E35F2">
              <w:rPr>
                <w:rFonts w:ascii="Times New Roman" w:hAnsi="Times New Roman"/>
                <w:b/>
                <w:bCs/>
                <w:iCs/>
                <w:sz w:val="24"/>
              </w:rPr>
              <w:t>钕</w:t>
            </w:r>
            <w:r w:rsidR="00D31414" w:rsidRPr="004E35F2">
              <w:rPr>
                <w:rFonts w:ascii="Times New Roman" w:hAnsi="Times New Roman"/>
                <w:b/>
                <w:bCs/>
                <w:iCs/>
                <w:sz w:val="24"/>
              </w:rPr>
              <w:t>铁硼磁材年规划产能大概是多少？</w:t>
            </w:r>
          </w:p>
          <w:p w14:paraId="500462AA" w14:textId="4655D902" w:rsidR="006F4DEC" w:rsidRPr="004E35F2" w:rsidRDefault="006F4DEC" w:rsidP="00854D5C">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00D31414" w:rsidRPr="004E35F2">
              <w:rPr>
                <w:rFonts w:ascii="Times New Roman" w:hAnsi="Times New Roman"/>
                <w:bCs/>
                <w:iCs/>
                <w:sz w:val="24"/>
              </w:rPr>
              <w:t>公司</w:t>
            </w:r>
            <w:r w:rsidR="00D31414" w:rsidRPr="004E35F2">
              <w:rPr>
                <w:rFonts w:ascii="Times New Roman" w:hAnsi="Times New Roman"/>
                <w:bCs/>
                <w:iCs/>
                <w:sz w:val="24"/>
              </w:rPr>
              <w:t>2017</w:t>
            </w:r>
            <w:r w:rsidR="00D31414" w:rsidRPr="004E35F2">
              <w:rPr>
                <w:rFonts w:ascii="Times New Roman" w:hAnsi="Times New Roman"/>
                <w:bCs/>
                <w:iCs/>
                <w:sz w:val="24"/>
              </w:rPr>
              <w:t>年的毛坯</w:t>
            </w:r>
            <w:r w:rsidR="009318AE" w:rsidRPr="004E35F2">
              <w:rPr>
                <w:rFonts w:ascii="Times New Roman" w:hAnsi="Times New Roman"/>
                <w:bCs/>
                <w:iCs/>
                <w:sz w:val="24"/>
              </w:rPr>
              <w:t>设计</w:t>
            </w:r>
            <w:r w:rsidR="00D31414" w:rsidRPr="004E35F2">
              <w:rPr>
                <w:rFonts w:ascii="Times New Roman" w:hAnsi="Times New Roman"/>
                <w:bCs/>
                <w:iCs/>
                <w:sz w:val="24"/>
              </w:rPr>
              <w:t>产能为</w:t>
            </w:r>
            <w:r w:rsidR="00D31414" w:rsidRPr="004E35F2">
              <w:rPr>
                <w:rFonts w:ascii="Times New Roman" w:hAnsi="Times New Roman"/>
                <w:bCs/>
                <w:iCs/>
                <w:sz w:val="24"/>
              </w:rPr>
              <w:t>6</w:t>
            </w:r>
            <w:r w:rsidR="009318AE" w:rsidRPr="004E35F2">
              <w:rPr>
                <w:rFonts w:ascii="Times New Roman" w:hAnsi="Times New Roman"/>
                <w:bCs/>
                <w:iCs/>
                <w:sz w:val="24"/>
              </w:rPr>
              <w:t>,</w:t>
            </w:r>
            <w:r w:rsidR="00D31414" w:rsidRPr="004E35F2">
              <w:rPr>
                <w:rFonts w:ascii="Times New Roman" w:hAnsi="Times New Roman"/>
                <w:bCs/>
                <w:iCs/>
                <w:sz w:val="24"/>
              </w:rPr>
              <w:t>000</w:t>
            </w:r>
            <w:r w:rsidR="00D31414" w:rsidRPr="004E35F2">
              <w:rPr>
                <w:rFonts w:ascii="Times New Roman" w:hAnsi="Times New Roman"/>
                <w:bCs/>
                <w:iCs/>
                <w:sz w:val="24"/>
              </w:rPr>
              <w:t>吨。目前</w:t>
            </w:r>
            <w:r w:rsidR="000F4972" w:rsidRPr="004E35F2">
              <w:rPr>
                <w:rFonts w:ascii="Times New Roman" w:hAnsi="Times New Roman"/>
                <w:bCs/>
                <w:iCs/>
                <w:sz w:val="24"/>
              </w:rPr>
              <w:t>，</w:t>
            </w:r>
            <w:r w:rsidR="00D31414" w:rsidRPr="004E35F2">
              <w:rPr>
                <w:rFonts w:ascii="Times New Roman" w:hAnsi="Times New Roman"/>
                <w:bCs/>
                <w:iCs/>
                <w:sz w:val="24"/>
              </w:rPr>
              <w:t>公司尚有在建产能相关项目</w:t>
            </w:r>
            <w:r w:rsidR="00D31414" w:rsidRPr="004E35F2">
              <w:rPr>
                <w:rFonts w:ascii="Times New Roman" w:hAnsi="Times New Roman"/>
                <w:bCs/>
                <w:iCs/>
                <w:sz w:val="24"/>
              </w:rPr>
              <w:t>“</w:t>
            </w:r>
            <w:r w:rsidR="00D31414" w:rsidRPr="004E35F2">
              <w:rPr>
                <w:rFonts w:ascii="Times New Roman" w:hAnsi="Times New Roman"/>
                <w:bCs/>
                <w:iCs/>
                <w:sz w:val="24"/>
              </w:rPr>
              <w:t>新建年产</w:t>
            </w:r>
            <w:r w:rsidR="00D31414" w:rsidRPr="004E35F2">
              <w:rPr>
                <w:rFonts w:ascii="Times New Roman" w:hAnsi="Times New Roman"/>
                <w:bCs/>
                <w:iCs/>
                <w:sz w:val="24"/>
              </w:rPr>
              <w:t>1000</w:t>
            </w:r>
            <w:r w:rsidR="00D31414" w:rsidRPr="004E35F2">
              <w:rPr>
                <w:rFonts w:ascii="Times New Roman" w:hAnsi="Times New Roman"/>
                <w:bCs/>
                <w:iCs/>
                <w:sz w:val="24"/>
              </w:rPr>
              <w:t>吨高性能磁钢生产能力项目</w:t>
            </w:r>
            <w:r w:rsidR="00D31414" w:rsidRPr="004E35F2">
              <w:rPr>
                <w:rFonts w:ascii="Times New Roman" w:hAnsi="Times New Roman"/>
                <w:bCs/>
                <w:iCs/>
                <w:sz w:val="24"/>
              </w:rPr>
              <w:t>”</w:t>
            </w:r>
            <w:r w:rsidR="00D31414" w:rsidRPr="004E35F2">
              <w:rPr>
                <w:rFonts w:ascii="Times New Roman" w:hAnsi="Times New Roman"/>
                <w:bCs/>
                <w:iCs/>
                <w:sz w:val="24"/>
              </w:rPr>
              <w:t>和公司</w:t>
            </w:r>
            <w:r w:rsidR="00D31414" w:rsidRPr="004E35F2">
              <w:rPr>
                <w:rFonts w:ascii="Times New Roman" w:hAnsi="Times New Roman"/>
                <w:bCs/>
                <w:iCs/>
                <w:sz w:val="24"/>
              </w:rPr>
              <w:t>IPO</w:t>
            </w:r>
            <w:proofErr w:type="gramStart"/>
            <w:r w:rsidR="00D31414" w:rsidRPr="004E35F2">
              <w:rPr>
                <w:rFonts w:ascii="Times New Roman" w:hAnsi="Times New Roman"/>
                <w:bCs/>
                <w:iCs/>
                <w:sz w:val="24"/>
              </w:rPr>
              <w:t>募投项目</w:t>
            </w:r>
            <w:proofErr w:type="gramEnd"/>
            <w:r w:rsidR="00D31414" w:rsidRPr="004E35F2">
              <w:rPr>
                <w:rFonts w:ascii="Times New Roman" w:hAnsi="Times New Roman"/>
                <w:bCs/>
                <w:iCs/>
                <w:sz w:val="24"/>
              </w:rPr>
              <w:t>“</w:t>
            </w:r>
            <w:r w:rsidR="00D31414" w:rsidRPr="004E35F2">
              <w:rPr>
                <w:rFonts w:ascii="Times New Roman" w:hAnsi="Times New Roman"/>
                <w:bCs/>
                <w:iCs/>
                <w:sz w:val="24"/>
              </w:rPr>
              <w:t>新建年产</w:t>
            </w:r>
            <w:r w:rsidR="00D31414" w:rsidRPr="004E35F2">
              <w:rPr>
                <w:rFonts w:ascii="Times New Roman" w:hAnsi="Times New Roman"/>
                <w:bCs/>
                <w:iCs/>
                <w:sz w:val="24"/>
              </w:rPr>
              <w:t>1300</w:t>
            </w:r>
            <w:r w:rsidR="00D31414" w:rsidRPr="004E35F2">
              <w:rPr>
                <w:rFonts w:ascii="Times New Roman" w:hAnsi="Times New Roman"/>
                <w:bCs/>
                <w:iCs/>
                <w:sz w:val="24"/>
              </w:rPr>
              <w:t>吨高性能磁钢项目</w:t>
            </w:r>
            <w:r w:rsidR="00D31414" w:rsidRPr="004E35F2">
              <w:rPr>
                <w:rFonts w:ascii="Times New Roman" w:hAnsi="Times New Roman"/>
                <w:bCs/>
                <w:iCs/>
                <w:sz w:val="24"/>
              </w:rPr>
              <w:t>”</w:t>
            </w:r>
            <w:r w:rsidR="00D31414" w:rsidRPr="004E35F2">
              <w:rPr>
                <w:rFonts w:ascii="Times New Roman" w:hAnsi="Times New Roman"/>
                <w:bCs/>
                <w:iCs/>
                <w:sz w:val="24"/>
              </w:rPr>
              <w:t>，上述项目达产后，产能的提升、产品结构的丰富，将有助于提升公司核心竞争力和进一步巩固公司在行业内的领先地位，尤其是公司</w:t>
            </w:r>
            <w:r w:rsidR="00D31414" w:rsidRPr="004E35F2">
              <w:rPr>
                <w:rFonts w:ascii="Times New Roman" w:hAnsi="Times New Roman"/>
                <w:bCs/>
                <w:iCs/>
                <w:sz w:val="24"/>
              </w:rPr>
              <w:t>IPO</w:t>
            </w:r>
            <w:proofErr w:type="gramStart"/>
            <w:r w:rsidR="00D31414" w:rsidRPr="004E35F2">
              <w:rPr>
                <w:rFonts w:ascii="Times New Roman" w:hAnsi="Times New Roman"/>
                <w:bCs/>
                <w:iCs/>
                <w:sz w:val="24"/>
              </w:rPr>
              <w:t>募投项目</w:t>
            </w:r>
            <w:proofErr w:type="gramEnd"/>
            <w:r w:rsidR="00D31414" w:rsidRPr="004E35F2">
              <w:rPr>
                <w:rFonts w:ascii="Times New Roman" w:hAnsi="Times New Roman"/>
                <w:bCs/>
                <w:iCs/>
                <w:sz w:val="24"/>
              </w:rPr>
              <w:t>达产后，将极力扩大公司在新能源汽车及汽车零部件、节能变频空调、节能电梯、机器人及智能制造等非风</w:t>
            </w:r>
            <w:proofErr w:type="gramStart"/>
            <w:r w:rsidR="00D31414" w:rsidRPr="004E35F2">
              <w:rPr>
                <w:rFonts w:ascii="Times New Roman" w:hAnsi="Times New Roman"/>
                <w:bCs/>
                <w:iCs/>
                <w:sz w:val="24"/>
              </w:rPr>
              <w:t>电领域</w:t>
            </w:r>
            <w:proofErr w:type="gramEnd"/>
            <w:r w:rsidR="00D31414" w:rsidRPr="004E35F2">
              <w:rPr>
                <w:rFonts w:ascii="Times New Roman" w:hAnsi="Times New Roman"/>
                <w:bCs/>
                <w:iCs/>
                <w:sz w:val="24"/>
              </w:rPr>
              <w:t>的产品生产规模。</w:t>
            </w:r>
          </w:p>
          <w:p w14:paraId="6672F738" w14:textId="77777777" w:rsidR="000F4972" w:rsidRPr="004E35F2" w:rsidRDefault="000F4972" w:rsidP="00300472">
            <w:pPr>
              <w:spacing w:line="480" w:lineRule="atLeast"/>
              <w:ind w:firstLineChars="150" w:firstLine="360"/>
              <w:rPr>
                <w:rFonts w:ascii="Times New Roman" w:hAnsi="Times New Roman"/>
                <w:bCs/>
                <w:iCs/>
                <w:sz w:val="24"/>
              </w:rPr>
            </w:pPr>
          </w:p>
          <w:p w14:paraId="5349F7B6" w14:textId="7CB70835" w:rsidR="006F4DEC" w:rsidRPr="004E35F2" w:rsidRDefault="00D94422" w:rsidP="006F4DEC">
            <w:pPr>
              <w:spacing w:line="480" w:lineRule="atLeast"/>
              <w:rPr>
                <w:rFonts w:ascii="Times New Roman" w:hAnsi="Times New Roman"/>
                <w:b/>
                <w:bCs/>
                <w:iCs/>
                <w:sz w:val="24"/>
              </w:rPr>
            </w:pPr>
            <w:r w:rsidRPr="004E35F2">
              <w:rPr>
                <w:rFonts w:ascii="Times New Roman" w:hAnsi="Times New Roman"/>
                <w:b/>
                <w:bCs/>
                <w:iCs/>
                <w:sz w:val="24"/>
              </w:rPr>
              <w:lastRenderedPageBreak/>
              <w:t>4</w:t>
            </w:r>
            <w:r w:rsidR="006F4DEC" w:rsidRPr="004E35F2">
              <w:rPr>
                <w:rFonts w:ascii="Times New Roman" w:hAnsi="Times New Roman"/>
                <w:b/>
                <w:bCs/>
                <w:iCs/>
                <w:sz w:val="24"/>
              </w:rPr>
              <w:t>、问：</w:t>
            </w:r>
            <w:r w:rsidR="00D31414" w:rsidRPr="004E35F2">
              <w:rPr>
                <w:rFonts w:ascii="Times New Roman" w:hAnsi="Times New Roman"/>
                <w:b/>
                <w:bCs/>
                <w:iCs/>
                <w:sz w:val="24"/>
              </w:rPr>
              <w:t>介绍一下公司技术开发与创新计划？</w:t>
            </w:r>
          </w:p>
          <w:p w14:paraId="57B0E6CB" w14:textId="638302D9" w:rsidR="00D31414" w:rsidRPr="004E35F2" w:rsidRDefault="006F4DEC" w:rsidP="00854D5C">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00D31414" w:rsidRPr="004E35F2">
              <w:rPr>
                <w:rFonts w:ascii="Times New Roman" w:hAnsi="Times New Roman"/>
                <w:bCs/>
                <w:iCs/>
                <w:sz w:val="24"/>
              </w:rPr>
              <w:t>公司继续坚持以客户为导向，不断进行技术升级和产品差异化设计。公司将技术服务前移到客户端，运用自身在钕铁硼永磁材料方面的专业技术优势，参与客户新产品的设计过程，协助客户优化产品性能、降低产品成本，提高公司产品研发成功率。针对五大战略领域，公司将继续加大技术研发及创新方面的投入，通过参与国家科研项目、产学研合作项目及独立研发项目，持续优化产品配方和生产工艺</w:t>
            </w:r>
            <w:r w:rsidR="006C62D3" w:rsidRPr="004E35F2">
              <w:rPr>
                <w:rFonts w:ascii="Times New Roman" w:hAnsi="Times New Roman"/>
                <w:bCs/>
                <w:iCs/>
                <w:sz w:val="24"/>
              </w:rPr>
              <w:t>。</w:t>
            </w:r>
          </w:p>
          <w:p w14:paraId="34112110" w14:textId="77777777" w:rsidR="000F4972" w:rsidRPr="004E35F2" w:rsidRDefault="000F4972" w:rsidP="00A019CE">
            <w:pPr>
              <w:spacing w:line="480" w:lineRule="atLeast"/>
              <w:rPr>
                <w:rFonts w:ascii="Times New Roman" w:hAnsi="Times New Roman"/>
                <w:bCs/>
                <w:iCs/>
                <w:sz w:val="24"/>
              </w:rPr>
            </w:pPr>
          </w:p>
          <w:p w14:paraId="78224D92" w14:textId="01A862DB" w:rsidR="00E86586" w:rsidRPr="004E35F2" w:rsidRDefault="00E86586" w:rsidP="00E86586">
            <w:pPr>
              <w:spacing w:line="480" w:lineRule="atLeast"/>
              <w:rPr>
                <w:rFonts w:ascii="Times New Roman" w:hAnsi="Times New Roman"/>
                <w:b/>
                <w:bCs/>
                <w:iCs/>
                <w:sz w:val="24"/>
              </w:rPr>
            </w:pPr>
            <w:r w:rsidRPr="004E35F2">
              <w:rPr>
                <w:rFonts w:ascii="Times New Roman" w:hAnsi="Times New Roman"/>
                <w:b/>
                <w:bCs/>
                <w:iCs/>
                <w:sz w:val="24"/>
              </w:rPr>
              <w:t>5</w:t>
            </w:r>
            <w:r w:rsidRPr="004E35F2">
              <w:rPr>
                <w:rFonts w:ascii="Times New Roman" w:hAnsi="Times New Roman"/>
                <w:b/>
                <w:bCs/>
                <w:iCs/>
                <w:sz w:val="24"/>
              </w:rPr>
              <w:t>、问：请问公司</w:t>
            </w:r>
            <w:r w:rsidR="005B0C5E" w:rsidRPr="004E35F2">
              <w:rPr>
                <w:rFonts w:ascii="Times New Roman" w:hAnsi="Times New Roman"/>
                <w:b/>
                <w:bCs/>
                <w:iCs/>
                <w:sz w:val="24"/>
              </w:rPr>
              <w:t>如何</w:t>
            </w:r>
            <w:r w:rsidRPr="004E35F2">
              <w:rPr>
                <w:rFonts w:ascii="Times New Roman" w:hAnsi="Times New Roman"/>
                <w:b/>
                <w:bCs/>
                <w:iCs/>
                <w:sz w:val="24"/>
              </w:rPr>
              <w:t>应对</w:t>
            </w:r>
            <w:r w:rsidR="005B0C5E" w:rsidRPr="004E35F2">
              <w:rPr>
                <w:rFonts w:ascii="Times New Roman" w:hAnsi="Times New Roman"/>
                <w:b/>
                <w:bCs/>
                <w:iCs/>
                <w:sz w:val="24"/>
              </w:rPr>
              <w:t>稀土</w:t>
            </w:r>
            <w:r w:rsidRPr="004E35F2">
              <w:rPr>
                <w:rFonts w:ascii="Times New Roman" w:hAnsi="Times New Roman"/>
                <w:b/>
                <w:bCs/>
                <w:iCs/>
                <w:sz w:val="24"/>
              </w:rPr>
              <w:t>原材料价格波动</w:t>
            </w:r>
            <w:r w:rsidR="005B0C5E" w:rsidRPr="004E35F2">
              <w:rPr>
                <w:rFonts w:ascii="Times New Roman" w:hAnsi="Times New Roman"/>
                <w:b/>
                <w:bCs/>
                <w:iCs/>
                <w:sz w:val="24"/>
              </w:rPr>
              <w:t>的风险以及如何保障稀土原材料的稳定供应？有哪些具体措施？</w:t>
            </w:r>
          </w:p>
          <w:p w14:paraId="062297B2" w14:textId="1507E2C5" w:rsidR="00E86586" w:rsidRPr="004E35F2" w:rsidRDefault="00E86586" w:rsidP="008F27FB">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Pr="004E35F2">
              <w:rPr>
                <w:rFonts w:ascii="Times New Roman" w:hAnsi="Times New Roman"/>
                <w:bCs/>
                <w:iCs/>
                <w:sz w:val="24"/>
              </w:rPr>
              <w:t>稀土原材料价格波动对公司经营业绩有重要影响</w:t>
            </w:r>
            <w:r w:rsidR="009318AE" w:rsidRPr="004E35F2">
              <w:rPr>
                <w:rFonts w:ascii="Times New Roman" w:hAnsi="Times New Roman"/>
                <w:bCs/>
                <w:iCs/>
                <w:sz w:val="24"/>
              </w:rPr>
              <w:t>，公司</w:t>
            </w:r>
            <w:r w:rsidRPr="004E35F2">
              <w:rPr>
                <w:rFonts w:ascii="Times New Roman" w:hAnsi="Times New Roman"/>
                <w:bCs/>
                <w:iCs/>
                <w:sz w:val="24"/>
              </w:rPr>
              <w:t>应对稀土原材料</w:t>
            </w:r>
            <w:r w:rsidR="008F27FB" w:rsidRPr="004E35F2">
              <w:rPr>
                <w:rFonts w:ascii="Times New Roman" w:hAnsi="Times New Roman"/>
                <w:bCs/>
                <w:iCs/>
                <w:sz w:val="24"/>
              </w:rPr>
              <w:t>价格</w:t>
            </w:r>
            <w:r w:rsidRPr="004E35F2">
              <w:rPr>
                <w:rFonts w:ascii="Times New Roman" w:hAnsi="Times New Roman"/>
                <w:bCs/>
                <w:iCs/>
                <w:sz w:val="24"/>
              </w:rPr>
              <w:t>波动的具体措施包括：第一，</w:t>
            </w:r>
            <w:r w:rsidR="009318AE" w:rsidRPr="004E35F2">
              <w:rPr>
                <w:rFonts w:ascii="Times New Roman" w:hAnsi="Times New Roman"/>
                <w:bCs/>
                <w:iCs/>
                <w:sz w:val="24"/>
              </w:rPr>
              <w:t>公司</w:t>
            </w:r>
            <w:r w:rsidRPr="004E35F2">
              <w:rPr>
                <w:rFonts w:ascii="Times New Roman" w:hAnsi="Times New Roman"/>
                <w:bCs/>
                <w:iCs/>
                <w:sz w:val="24"/>
              </w:rPr>
              <w:t>主要采用以销定产的生产销售模式，根据在手订单情况提前采购稀土原材料，以降低稀土原材料价格波动对公司业绩的影响；第二，</w:t>
            </w:r>
            <w:r w:rsidR="009318AE" w:rsidRPr="004E35F2">
              <w:rPr>
                <w:rFonts w:ascii="Times New Roman" w:hAnsi="Times New Roman"/>
                <w:bCs/>
                <w:iCs/>
                <w:sz w:val="24"/>
              </w:rPr>
              <w:t>公司</w:t>
            </w:r>
            <w:r w:rsidRPr="004E35F2">
              <w:rPr>
                <w:rFonts w:ascii="Times New Roman" w:hAnsi="Times New Roman"/>
                <w:bCs/>
                <w:iCs/>
                <w:sz w:val="24"/>
              </w:rPr>
              <w:t>与部分主要客户形成一定的调价机制</w:t>
            </w:r>
            <w:r w:rsidR="009318AE" w:rsidRPr="004E35F2">
              <w:rPr>
                <w:rFonts w:ascii="Times New Roman" w:hAnsi="Times New Roman"/>
                <w:bCs/>
                <w:iCs/>
                <w:sz w:val="24"/>
              </w:rPr>
              <w:t>；</w:t>
            </w:r>
            <w:r w:rsidRPr="004E35F2">
              <w:rPr>
                <w:rFonts w:ascii="Times New Roman" w:hAnsi="Times New Roman"/>
                <w:bCs/>
                <w:iCs/>
                <w:sz w:val="24"/>
              </w:rPr>
              <w:t>第三，</w:t>
            </w:r>
            <w:r w:rsidR="009318AE" w:rsidRPr="004E35F2">
              <w:rPr>
                <w:rFonts w:ascii="Times New Roman" w:hAnsi="Times New Roman"/>
                <w:bCs/>
                <w:iCs/>
                <w:sz w:val="24"/>
              </w:rPr>
              <w:t>公司</w:t>
            </w:r>
            <w:r w:rsidRPr="004E35F2">
              <w:rPr>
                <w:rFonts w:ascii="Times New Roman" w:hAnsi="Times New Roman"/>
                <w:bCs/>
                <w:iCs/>
                <w:sz w:val="24"/>
              </w:rPr>
              <w:t>会依据上游原材料价格走势，采购适量的稀土原材料作为安全库存</w:t>
            </w:r>
            <w:r w:rsidR="008F27FB" w:rsidRPr="004E35F2">
              <w:rPr>
                <w:rFonts w:ascii="Times New Roman" w:hAnsi="Times New Roman"/>
                <w:bCs/>
                <w:iCs/>
                <w:sz w:val="24"/>
              </w:rPr>
              <w:t>，一般情况下会储备</w:t>
            </w:r>
            <w:r w:rsidR="008F27FB" w:rsidRPr="004E35F2">
              <w:rPr>
                <w:rFonts w:ascii="Times New Roman" w:hAnsi="Times New Roman"/>
                <w:bCs/>
                <w:iCs/>
                <w:sz w:val="24"/>
              </w:rPr>
              <w:t>3-4</w:t>
            </w:r>
            <w:r w:rsidR="008F27FB" w:rsidRPr="004E35F2">
              <w:rPr>
                <w:rFonts w:ascii="Times New Roman" w:hAnsi="Times New Roman"/>
                <w:bCs/>
                <w:iCs/>
                <w:sz w:val="24"/>
              </w:rPr>
              <w:t>个月的需要量</w:t>
            </w:r>
            <w:r w:rsidRPr="004E35F2">
              <w:rPr>
                <w:rFonts w:ascii="Times New Roman" w:hAnsi="Times New Roman"/>
                <w:bCs/>
                <w:iCs/>
                <w:sz w:val="24"/>
              </w:rPr>
              <w:t>。</w:t>
            </w:r>
          </w:p>
          <w:p w14:paraId="4632E72F" w14:textId="552D0678" w:rsidR="005B0C5E" w:rsidRPr="004E35F2" w:rsidRDefault="00EB2C60" w:rsidP="00EB2C60">
            <w:pPr>
              <w:spacing w:line="480" w:lineRule="atLeast"/>
              <w:ind w:firstLineChars="200" w:firstLine="480"/>
              <w:rPr>
                <w:rFonts w:ascii="Times New Roman" w:hAnsi="Times New Roman"/>
                <w:bCs/>
                <w:iCs/>
                <w:sz w:val="24"/>
              </w:rPr>
            </w:pPr>
            <w:r w:rsidRPr="004E35F2">
              <w:rPr>
                <w:rFonts w:ascii="Times New Roman" w:hAnsi="Times New Roman"/>
                <w:bCs/>
                <w:iCs/>
                <w:sz w:val="24"/>
              </w:rPr>
              <w:t>同时，</w:t>
            </w:r>
            <w:r w:rsidR="008F27FB" w:rsidRPr="004E35F2">
              <w:rPr>
                <w:rFonts w:ascii="Times New Roman" w:hAnsi="Times New Roman"/>
                <w:bCs/>
                <w:iCs/>
                <w:sz w:val="24"/>
              </w:rPr>
              <w:t>公司通过产业链上下游资源整合，与赣州稀土集团有限公司（</w:t>
            </w:r>
            <w:r w:rsidR="008F27FB" w:rsidRPr="004E35F2">
              <w:rPr>
                <w:rFonts w:ascii="Times New Roman" w:hAnsi="Times New Roman"/>
                <w:bCs/>
                <w:iCs/>
                <w:sz w:val="24"/>
              </w:rPr>
              <w:t>“</w:t>
            </w:r>
            <w:r w:rsidR="008F27FB" w:rsidRPr="004E35F2">
              <w:rPr>
                <w:rFonts w:ascii="Times New Roman" w:hAnsi="Times New Roman"/>
                <w:bCs/>
                <w:iCs/>
                <w:sz w:val="24"/>
              </w:rPr>
              <w:t>赣州稀土集团</w:t>
            </w:r>
            <w:r w:rsidR="008F27FB" w:rsidRPr="004E35F2">
              <w:rPr>
                <w:rFonts w:ascii="Times New Roman" w:hAnsi="Times New Roman"/>
                <w:bCs/>
                <w:iCs/>
                <w:sz w:val="24"/>
              </w:rPr>
              <w:t>”</w:t>
            </w:r>
            <w:r w:rsidR="008F27FB" w:rsidRPr="004E35F2">
              <w:rPr>
                <w:rFonts w:ascii="Times New Roman" w:hAnsi="Times New Roman"/>
                <w:bCs/>
                <w:iCs/>
                <w:sz w:val="24"/>
              </w:rPr>
              <w:t>）、四川江铜稀土有限责任公司（</w:t>
            </w:r>
            <w:r w:rsidR="008F27FB" w:rsidRPr="004E35F2">
              <w:rPr>
                <w:rFonts w:ascii="Times New Roman" w:hAnsi="Times New Roman"/>
                <w:bCs/>
                <w:iCs/>
                <w:sz w:val="24"/>
              </w:rPr>
              <w:t>“</w:t>
            </w:r>
            <w:r w:rsidR="008F27FB" w:rsidRPr="004E35F2">
              <w:rPr>
                <w:rFonts w:ascii="Times New Roman" w:hAnsi="Times New Roman"/>
                <w:bCs/>
                <w:iCs/>
                <w:sz w:val="24"/>
              </w:rPr>
              <w:t>四川江铜稀土</w:t>
            </w:r>
            <w:r w:rsidR="008F27FB" w:rsidRPr="004E35F2">
              <w:rPr>
                <w:rFonts w:ascii="Times New Roman" w:hAnsi="Times New Roman"/>
                <w:bCs/>
                <w:iCs/>
                <w:sz w:val="24"/>
              </w:rPr>
              <w:t>”</w:t>
            </w:r>
            <w:r w:rsidR="008F27FB" w:rsidRPr="004E35F2">
              <w:rPr>
                <w:rFonts w:ascii="Times New Roman" w:hAnsi="Times New Roman"/>
                <w:bCs/>
                <w:iCs/>
                <w:sz w:val="24"/>
              </w:rPr>
              <w:t>）建立</w:t>
            </w:r>
            <w:r w:rsidRPr="004E35F2">
              <w:rPr>
                <w:rFonts w:ascii="Times New Roman" w:hAnsi="Times New Roman"/>
                <w:bCs/>
                <w:iCs/>
                <w:sz w:val="24"/>
              </w:rPr>
              <w:t>了</w:t>
            </w:r>
            <w:r w:rsidR="008F27FB" w:rsidRPr="004E35F2">
              <w:rPr>
                <w:rFonts w:ascii="Times New Roman" w:hAnsi="Times New Roman"/>
                <w:bCs/>
                <w:iCs/>
                <w:sz w:val="24"/>
              </w:rPr>
              <w:t>牢固的股权</w:t>
            </w:r>
            <w:r w:rsidRPr="004E35F2">
              <w:rPr>
                <w:rFonts w:ascii="Times New Roman" w:hAnsi="Times New Roman"/>
                <w:bCs/>
                <w:iCs/>
                <w:sz w:val="24"/>
              </w:rPr>
              <w:t>合作</w:t>
            </w:r>
            <w:r w:rsidR="008F27FB" w:rsidRPr="004E35F2">
              <w:rPr>
                <w:rFonts w:ascii="Times New Roman" w:hAnsi="Times New Roman"/>
                <w:bCs/>
                <w:iCs/>
                <w:sz w:val="24"/>
              </w:rPr>
              <w:t>关系，以保证稀土原材料的长期稳定供应。赣州稀土集团是赣州稀土的唯一采矿权人，是</w:t>
            </w:r>
            <w:r w:rsidR="00935A52" w:rsidRPr="00935A52">
              <w:rPr>
                <w:rFonts w:ascii="Times New Roman" w:hAnsi="Times New Roman" w:hint="eastAsia"/>
                <w:bCs/>
                <w:iCs/>
                <w:sz w:val="24"/>
              </w:rPr>
              <w:t>南方稀土第一大资源平台</w:t>
            </w:r>
            <w:r w:rsidR="008F27FB" w:rsidRPr="004E35F2">
              <w:rPr>
                <w:rFonts w:ascii="Times New Roman" w:hAnsi="Times New Roman"/>
                <w:bCs/>
                <w:iCs/>
                <w:sz w:val="24"/>
              </w:rPr>
              <w:t>，是公司的股东之一。四川江铜稀土拥有中国第二大轻稀土矿四川冕宁县牦牛坪稀土矿的采矿权，是国内重要的轻稀土供应商。公司</w:t>
            </w:r>
            <w:bookmarkStart w:id="0" w:name="_GoBack"/>
            <w:bookmarkEnd w:id="0"/>
            <w:r w:rsidR="008F27FB" w:rsidRPr="004E35F2">
              <w:rPr>
                <w:rFonts w:ascii="Times New Roman" w:hAnsi="Times New Roman"/>
                <w:bCs/>
                <w:iCs/>
                <w:sz w:val="24"/>
              </w:rPr>
              <w:t>通过与四川江铜稀土设立合资公司，生产钕铁</w:t>
            </w:r>
            <w:proofErr w:type="gramStart"/>
            <w:r w:rsidR="008F27FB" w:rsidRPr="004E35F2">
              <w:rPr>
                <w:rFonts w:ascii="Times New Roman" w:hAnsi="Times New Roman"/>
                <w:bCs/>
                <w:iCs/>
                <w:sz w:val="24"/>
              </w:rPr>
              <w:t>硼甩带</w:t>
            </w:r>
            <w:proofErr w:type="gramEnd"/>
            <w:r w:rsidR="008F27FB" w:rsidRPr="004E35F2">
              <w:rPr>
                <w:rFonts w:ascii="Times New Roman" w:hAnsi="Times New Roman"/>
                <w:bCs/>
                <w:iCs/>
                <w:sz w:val="24"/>
              </w:rPr>
              <w:t>合金片，以保障公司轻稀土的供应。</w:t>
            </w:r>
          </w:p>
          <w:p w14:paraId="0CF02DAC" w14:textId="77777777" w:rsidR="000F4972" w:rsidRPr="004E35F2" w:rsidRDefault="000F4972" w:rsidP="000F4972">
            <w:pPr>
              <w:spacing w:line="480" w:lineRule="atLeast"/>
              <w:rPr>
                <w:rFonts w:ascii="Times New Roman" w:hAnsi="Times New Roman"/>
                <w:bCs/>
                <w:iCs/>
                <w:sz w:val="24"/>
              </w:rPr>
            </w:pPr>
          </w:p>
          <w:p w14:paraId="52F61B8D" w14:textId="32412855" w:rsidR="006C62D3" w:rsidRPr="004E35F2" w:rsidRDefault="00E86586" w:rsidP="006C62D3">
            <w:pPr>
              <w:spacing w:line="480" w:lineRule="atLeast"/>
              <w:rPr>
                <w:rFonts w:ascii="Times New Roman" w:hAnsi="Times New Roman"/>
                <w:b/>
                <w:bCs/>
                <w:iCs/>
                <w:sz w:val="24"/>
              </w:rPr>
            </w:pPr>
            <w:r w:rsidRPr="004E35F2">
              <w:rPr>
                <w:rFonts w:ascii="Times New Roman" w:hAnsi="Times New Roman"/>
                <w:b/>
                <w:bCs/>
                <w:iCs/>
                <w:sz w:val="24"/>
              </w:rPr>
              <w:t>6</w:t>
            </w:r>
            <w:r w:rsidR="006C62D3" w:rsidRPr="004E35F2">
              <w:rPr>
                <w:rFonts w:ascii="Times New Roman" w:hAnsi="Times New Roman"/>
                <w:b/>
                <w:bCs/>
                <w:iCs/>
                <w:sz w:val="24"/>
              </w:rPr>
              <w:t>、问：请介绍一下公司未来三年的发展规划。</w:t>
            </w:r>
          </w:p>
          <w:p w14:paraId="397C4DF5" w14:textId="77777777" w:rsidR="00854D5C" w:rsidRPr="004E35F2" w:rsidRDefault="006C62D3" w:rsidP="00854D5C">
            <w:pPr>
              <w:spacing w:line="480" w:lineRule="atLeast"/>
              <w:ind w:firstLineChars="200" w:firstLine="482"/>
              <w:rPr>
                <w:rFonts w:ascii="Times New Roman" w:hAnsi="Times New Roman"/>
                <w:bCs/>
                <w:iCs/>
                <w:sz w:val="24"/>
              </w:rPr>
            </w:pPr>
            <w:r w:rsidRPr="004E35F2">
              <w:rPr>
                <w:rFonts w:ascii="Times New Roman" w:hAnsi="Times New Roman"/>
                <w:b/>
                <w:bCs/>
                <w:iCs/>
                <w:sz w:val="24"/>
              </w:rPr>
              <w:t>答：</w:t>
            </w:r>
            <w:r w:rsidRPr="004E35F2">
              <w:rPr>
                <w:rFonts w:ascii="Times New Roman" w:hAnsi="Times New Roman"/>
                <w:bCs/>
                <w:iCs/>
                <w:sz w:val="24"/>
              </w:rPr>
              <w:t>公司继续坚持以研发、生产和销售高性能钕铁硼永磁材料为主业，保持在风力发电行业的领先优势，积极开拓新能源和节能环保行业非风电领域市场，优化产品结构和客户结构，降低经营风险。同时，公司将进一步完善磁性材料产品体系，利用多种方式引入先进技术和高端人才，开发</w:t>
            </w:r>
            <w:r w:rsidRPr="004E35F2">
              <w:rPr>
                <w:rFonts w:ascii="Times New Roman" w:hAnsi="Times New Roman"/>
                <w:bCs/>
                <w:iCs/>
                <w:sz w:val="24"/>
              </w:rPr>
              <w:lastRenderedPageBreak/>
              <w:t>附加值更高的新产品，全面提升公司的盈利能力和行业地位</w:t>
            </w:r>
            <w:r w:rsidR="009318AE" w:rsidRPr="004E35F2">
              <w:rPr>
                <w:rFonts w:ascii="Times New Roman" w:hAnsi="Times New Roman"/>
                <w:bCs/>
                <w:iCs/>
                <w:sz w:val="24"/>
              </w:rPr>
              <w:t>。</w:t>
            </w:r>
          </w:p>
          <w:p w14:paraId="2F81D1DA" w14:textId="77777777" w:rsidR="00854D5C" w:rsidRPr="004E35F2" w:rsidRDefault="006C62D3" w:rsidP="00854D5C">
            <w:pPr>
              <w:spacing w:line="480" w:lineRule="atLeast"/>
              <w:ind w:firstLineChars="200" w:firstLine="480"/>
              <w:rPr>
                <w:rFonts w:ascii="Times New Roman" w:hAnsi="Times New Roman"/>
                <w:bCs/>
                <w:iCs/>
                <w:sz w:val="24"/>
              </w:rPr>
            </w:pPr>
            <w:r w:rsidRPr="004E35F2">
              <w:rPr>
                <w:rFonts w:ascii="Times New Roman" w:hAnsi="Times New Roman"/>
                <w:bCs/>
                <w:iCs/>
                <w:sz w:val="24"/>
              </w:rPr>
              <w:t>未来三年，公司将分别新建年产</w:t>
            </w:r>
            <w:r w:rsidRPr="004E35F2">
              <w:rPr>
                <w:rFonts w:ascii="Times New Roman" w:hAnsi="Times New Roman"/>
                <w:bCs/>
                <w:iCs/>
                <w:sz w:val="24"/>
              </w:rPr>
              <w:t>1,000</w:t>
            </w:r>
            <w:r w:rsidRPr="004E35F2">
              <w:rPr>
                <w:rFonts w:ascii="Times New Roman" w:hAnsi="Times New Roman"/>
                <w:bCs/>
                <w:iCs/>
                <w:sz w:val="24"/>
              </w:rPr>
              <w:t>吨和</w:t>
            </w:r>
            <w:r w:rsidRPr="004E35F2">
              <w:rPr>
                <w:rFonts w:ascii="Times New Roman" w:hAnsi="Times New Roman"/>
                <w:bCs/>
                <w:iCs/>
                <w:sz w:val="24"/>
              </w:rPr>
              <w:t>1,300</w:t>
            </w:r>
            <w:r w:rsidRPr="004E35F2">
              <w:rPr>
                <w:rFonts w:ascii="Times New Roman" w:hAnsi="Times New Roman"/>
                <w:bCs/>
                <w:iCs/>
                <w:sz w:val="24"/>
              </w:rPr>
              <w:t>吨高性能磁钢项目，以顺应下游应用领域市场快速增长的需求，扩大在非风</w:t>
            </w:r>
            <w:proofErr w:type="gramStart"/>
            <w:r w:rsidRPr="004E35F2">
              <w:rPr>
                <w:rFonts w:ascii="Times New Roman" w:hAnsi="Times New Roman"/>
                <w:bCs/>
                <w:iCs/>
                <w:sz w:val="24"/>
              </w:rPr>
              <w:t>电领域</w:t>
            </w:r>
            <w:proofErr w:type="gramEnd"/>
            <w:r w:rsidRPr="004E35F2">
              <w:rPr>
                <w:rFonts w:ascii="Times New Roman" w:hAnsi="Times New Roman"/>
                <w:bCs/>
                <w:iCs/>
                <w:sz w:val="24"/>
              </w:rPr>
              <w:t>的市场份额；对现有的生产线进行自动化升级改造，以提高生产效率，保证产品质量，降低人工成本；投资建设企业技术中心，增加研发投入，改善研发条件，巩固公司的核心技术能力</w:t>
            </w:r>
            <w:r w:rsidR="009318AE" w:rsidRPr="004E35F2">
              <w:rPr>
                <w:rFonts w:ascii="Times New Roman" w:hAnsi="Times New Roman"/>
                <w:bCs/>
                <w:iCs/>
                <w:sz w:val="24"/>
              </w:rPr>
              <w:t>。</w:t>
            </w:r>
          </w:p>
          <w:p w14:paraId="468BE3B0" w14:textId="70C77935" w:rsidR="006C62D3" w:rsidRPr="004E35F2" w:rsidRDefault="006C62D3" w:rsidP="00854D5C">
            <w:pPr>
              <w:spacing w:line="480" w:lineRule="atLeast"/>
              <w:ind w:firstLineChars="200" w:firstLine="480"/>
              <w:rPr>
                <w:rFonts w:ascii="Times New Roman" w:hAnsi="Times New Roman"/>
                <w:b/>
                <w:bCs/>
                <w:iCs/>
                <w:sz w:val="24"/>
                <w:highlight w:val="yellow"/>
              </w:rPr>
            </w:pPr>
            <w:r w:rsidRPr="004E35F2">
              <w:rPr>
                <w:rFonts w:ascii="Times New Roman" w:hAnsi="Times New Roman"/>
                <w:bCs/>
                <w:iCs/>
                <w:sz w:val="24"/>
              </w:rPr>
              <w:t>预计发行后三年，公司高性能钕铁硼永磁材料销量达到</w:t>
            </w:r>
            <w:r w:rsidRPr="004E35F2">
              <w:rPr>
                <w:rFonts w:ascii="Times New Roman" w:hAnsi="Times New Roman"/>
                <w:bCs/>
                <w:iCs/>
                <w:sz w:val="24"/>
              </w:rPr>
              <w:t>5,000</w:t>
            </w:r>
            <w:r w:rsidRPr="004E35F2">
              <w:rPr>
                <w:rFonts w:ascii="Times New Roman" w:hAnsi="Times New Roman"/>
                <w:bCs/>
                <w:iCs/>
                <w:sz w:val="24"/>
              </w:rPr>
              <w:t>吨</w:t>
            </w:r>
            <w:r w:rsidR="000F4972" w:rsidRPr="004E35F2">
              <w:rPr>
                <w:rFonts w:ascii="Times New Roman" w:hAnsi="Times New Roman"/>
                <w:bCs/>
                <w:iCs/>
                <w:sz w:val="24"/>
              </w:rPr>
              <w:t>，</w:t>
            </w:r>
            <w:r w:rsidRPr="004E35F2">
              <w:rPr>
                <w:rFonts w:ascii="Times New Roman" w:hAnsi="Times New Roman"/>
                <w:bCs/>
                <w:iCs/>
                <w:sz w:val="24"/>
              </w:rPr>
              <w:t>在非风</w:t>
            </w:r>
            <w:proofErr w:type="gramStart"/>
            <w:r w:rsidRPr="004E35F2">
              <w:rPr>
                <w:rFonts w:ascii="Times New Roman" w:hAnsi="Times New Roman"/>
                <w:bCs/>
                <w:iCs/>
                <w:sz w:val="24"/>
              </w:rPr>
              <w:t>电领域</w:t>
            </w:r>
            <w:proofErr w:type="gramEnd"/>
            <w:r w:rsidRPr="004E35F2">
              <w:rPr>
                <w:rFonts w:ascii="Times New Roman" w:hAnsi="Times New Roman"/>
                <w:bCs/>
                <w:iCs/>
                <w:sz w:val="24"/>
              </w:rPr>
              <w:t>的市场开拓成果显著，</w:t>
            </w:r>
            <w:r w:rsidR="000F4972" w:rsidRPr="004E35F2">
              <w:rPr>
                <w:rFonts w:ascii="Times New Roman" w:hAnsi="Times New Roman"/>
                <w:bCs/>
                <w:iCs/>
                <w:sz w:val="24"/>
              </w:rPr>
              <w:t>以</w:t>
            </w:r>
            <w:r w:rsidRPr="004E35F2">
              <w:rPr>
                <w:rFonts w:ascii="Times New Roman" w:hAnsi="Times New Roman"/>
                <w:bCs/>
                <w:iCs/>
                <w:sz w:val="24"/>
              </w:rPr>
              <w:t>来自非风</w:t>
            </w:r>
            <w:proofErr w:type="gramStart"/>
            <w:r w:rsidRPr="004E35F2">
              <w:rPr>
                <w:rFonts w:ascii="Times New Roman" w:hAnsi="Times New Roman"/>
                <w:bCs/>
                <w:iCs/>
                <w:sz w:val="24"/>
              </w:rPr>
              <w:t>电领域</w:t>
            </w:r>
            <w:proofErr w:type="gramEnd"/>
            <w:r w:rsidRPr="004E35F2">
              <w:rPr>
                <w:rFonts w:ascii="Times New Roman" w:hAnsi="Times New Roman"/>
                <w:bCs/>
                <w:iCs/>
                <w:sz w:val="24"/>
              </w:rPr>
              <w:t>的销售收入为主，主要生产工序完成自动化改造，建成国家级企业技术中心。</w:t>
            </w:r>
          </w:p>
          <w:p w14:paraId="3994CCE5" w14:textId="77777777" w:rsidR="000F4972" w:rsidRPr="004E35F2" w:rsidRDefault="000F4972" w:rsidP="00A019CE">
            <w:pPr>
              <w:spacing w:line="480" w:lineRule="atLeast"/>
              <w:ind w:firstLineChars="200" w:firstLine="480"/>
              <w:rPr>
                <w:rFonts w:ascii="Times New Roman" w:hAnsi="Times New Roman"/>
                <w:sz w:val="24"/>
              </w:rPr>
            </w:pPr>
          </w:p>
          <w:p w14:paraId="3892E63E" w14:textId="6E3D1D2A" w:rsidR="00757AA8" w:rsidRPr="004E35F2" w:rsidRDefault="00A019CE" w:rsidP="00A019CE">
            <w:pPr>
              <w:spacing w:line="480" w:lineRule="atLeast"/>
              <w:ind w:firstLineChars="200" w:firstLine="480"/>
              <w:rPr>
                <w:rFonts w:ascii="Times New Roman" w:hAnsi="Times New Roman"/>
                <w:bCs/>
                <w:iCs/>
                <w:sz w:val="24"/>
                <w:highlight w:val="yellow"/>
              </w:rPr>
            </w:pPr>
            <w:r w:rsidRPr="004E35F2">
              <w:rPr>
                <w:rFonts w:ascii="Times New Roman" w:hAnsi="Times New Roman"/>
                <w:sz w:val="24"/>
              </w:rPr>
              <w:t>接待过程中，公司与投资者进行了充分的交流与沟通，并严格按照公司《信息披露管理制度》等规定，保证信息披露的真实、准确、完整、及时、公平。没有出现未公开重大信息泄露等情况</w:t>
            </w:r>
            <w:r w:rsidRPr="004E35F2">
              <w:rPr>
                <w:rFonts w:ascii="Times New Roman" w:hAnsi="Times New Roman"/>
                <w:bCs/>
                <w:iCs/>
                <w:sz w:val="24"/>
              </w:rPr>
              <w:t>，同时已按深圳证券交易所要求签署调研《承诺书》。</w:t>
            </w:r>
          </w:p>
        </w:tc>
      </w:tr>
      <w:tr w:rsidR="003C79F7" w:rsidRPr="004E35F2"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4E35F2" w:rsidRDefault="003C79F7" w:rsidP="000F4972">
            <w:pPr>
              <w:spacing w:line="276" w:lineRule="auto"/>
              <w:rPr>
                <w:rFonts w:ascii="Times New Roman" w:hAnsi="Times New Roman"/>
                <w:bCs/>
                <w:iCs/>
                <w:color w:val="000000"/>
                <w:sz w:val="24"/>
              </w:rPr>
            </w:pPr>
            <w:r w:rsidRPr="004E35F2">
              <w:rPr>
                <w:rFonts w:ascii="Times New Roman" w:hAnsi="Times New Roman"/>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4E35F2" w:rsidRDefault="00671075" w:rsidP="0001300C">
            <w:pPr>
              <w:spacing w:line="480" w:lineRule="atLeast"/>
              <w:jc w:val="left"/>
              <w:rPr>
                <w:rFonts w:ascii="Times New Roman" w:hAnsi="Times New Roman"/>
                <w:bCs/>
                <w:iCs/>
                <w:color w:val="000000"/>
                <w:sz w:val="24"/>
              </w:rPr>
            </w:pPr>
            <w:r w:rsidRPr="004E35F2">
              <w:rPr>
                <w:rFonts w:ascii="Times New Roman" w:hAnsi="Times New Roman"/>
                <w:bCs/>
                <w:iCs/>
                <w:color w:val="000000"/>
                <w:sz w:val="24"/>
              </w:rPr>
              <w:t>无</w:t>
            </w:r>
          </w:p>
        </w:tc>
      </w:tr>
      <w:tr w:rsidR="003C79F7" w:rsidRPr="004E35F2"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4D905F01" w:rsidR="003C79F7" w:rsidRPr="004E35F2" w:rsidRDefault="003C79F7" w:rsidP="00B51D6D">
            <w:pPr>
              <w:jc w:val="center"/>
              <w:rPr>
                <w:rFonts w:ascii="Times New Roman" w:hAnsi="Times New Roman"/>
                <w:bCs/>
                <w:iCs/>
                <w:color w:val="000000"/>
                <w:sz w:val="24"/>
              </w:rPr>
            </w:pPr>
            <w:r w:rsidRPr="004E35F2">
              <w:rPr>
                <w:rFonts w:ascii="Times New Roman" w:hAnsi="Times New Roman"/>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77777777" w:rsidR="003C79F7" w:rsidRPr="004E35F2" w:rsidRDefault="00255774" w:rsidP="00757AA8">
            <w:pPr>
              <w:spacing w:line="480" w:lineRule="atLeast"/>
              <w:rPr>
                <w:rFonts w:ascii="Times New Roman" w:hAnsi="Times New Roman"/>
                <w:bCs/>
                <w:iCs/>
                <w:color w:val="000000"/>
                <w:sz w:val="24"/>
              </w:rPr>
            </w:pPr>
            <w:r w:rsidRPr="004E35F2">
              <w:rPr>
                <w:rFonts w:ascii="Times New Roman" w:hAnsi="Times New Roman"/>
                <w:bCs/>
                <w:iCs/>
                <w:color w:val="000000"/>
                <w:sz w:val="24"/>
              </w:rPr>
              <w:t>201</w:t>
            </w:r>
            <w:r w:rsidR="00757AA8" w:rsidRPr="004E35F2">
              <w:rPr>
                <w:rFonts w:ascii="Times New Roman" w:hAnsi="Times New Roman"/>
                <w:bCs/>
                <w:iCs/>
                <w:color w:val="000000"/>
                <w:sz w:val="24"/>
              </w:rPr>
              <w:t>8</w:t>
            </w:r>
            <w:r w:rsidRPr="004E35F2">
              <w:rPr>
                <w:rFonts w:ascii="Times New Roman" w:hAnsi="Times New Roman"/>
                <w:bCs/>
                <w:iCs/>
                <w:color w:val="000000"/>
                <w:sz w:val="24"/>
              </w:rPr>
              <w:t>年</w:t>
            </w:r>
            <w:r w:rsidR="00D31414" w:rsidRPr="004E35F2">
              <w:rPr>
                <w:rFonts w:ascii="Times New Roman" w:hAnsi="Times New Roman"/>
                <w:bCs/>
                <w:iCs/>
                <w:color w:val="000000"/>
                <w:sz w:val="24"/>
              </w:rPr>
              <w:t>10</w:t>
            </w:r>
            <w:r w:rsidRPr="004E35F2">
              <w:rPr>
                <w:rFonts w:ascii="Times New Roman" w:hAnsi="Times New Roman"/>
                <w:bCs/>
                <w:iCs/>
                <w:color w:val="000000"/>
                <w:sz w:val="24"/>
              </w:rPr>
              <w:t>月</w:t>
            </w:r>
            <w:r w:rsidR="00D31414" w:rsidRPr="004E35F2">
              <w:rPr>
                <w:rFonts w:ascii="Times New Roman" w:hAnsi="Times New Roman"/>
                <w:bCs/>
                <w:iCs/>
                <w:color w:val="000000"/>
                <w:sz w:val="24"/>
              </w:rPr>
              <w:t>16</w:t>
            </w:r>
            <w:r w:rsidRPr="004E35F2">
              <w:rPr>
                <w:rFonts w:ascii="Times New Roman" w:hAnsi="Times New Roman"/>
                <w:bCs/>
                <w:iCs/>
                <w:color w:val="000000"/>
                <w:sz w:val="24"/>
              </w:rPr>
              <w:t>日</w:t>
            </w:r>
          </w:p>
        </w:tc>
      </w:tr>
    </w:tbl>
    <w:p w14:paraId="61366F3B" w14:textId="77777777" w:rsidR="003C79F7" w:rsidRPr="004E35F2" w:rsidRDefault="003C79F7" w:rsidP="00D4715F">
      <w:pPr>
        <w:autoSpaceDE w:val="0"/>
        <w:autoSpaceDN w:val="0"/>
        <w:adjustRightInd w:val="0"/>
        <w:spacing w:line="20" w:lineRule="exact"/>
        <w:jc w:val="left"/>
        <w:rPr>
          <w:rFonts w:ascii="Times New Roman" w:hAnsi="Times New Roman"/>
          <w:color w:val="000000"/>
          <w:kern w:val="0"/>
          <w:sz w:val="24"/>
          <w:szCs w:val="24"/>
        </w:rPr>
      </w:pPr>
    </w:p>
    <w:sectPr w:rsidR="003C79F7" w:rsidRPr="004E35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0459D" w14:textId="77777777" w:rsidR="001B1179" w:rsidRDefault="001B1179" w:rsidP="0033399D">
      <w:r>
        <w:separator/>
      </w:r>
    </w:p>
  </w:endnote>
  <w:endnote w:type="continuationSeparator" w:id="0">
    <w:p w14:paraId="47D8287C" w14:textId="77777777" w:rsidR="001B1179" w:rsidRDefault="001B1179"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53D7F" w14:textId="77777777" w:rsidR="001B1179" w:rsidRDefault="001B1179" w:rsidP="0033399D">
      <w:r>
        <w:separator/>
      </w:r>
    </w:p>
  </w:footnote>
  <w:footnote w:type="continuationSeparator" w:id="0">
    <w:p w14:paraId="016E65BA" w14:textId="77777777" w:rsidR="001B1179" w:rsidRDefault="001B1179" w:rsidP="0033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E0"/>
    <w:rsid w:val="000029CA"/>
    <w:rsid w:val="00005170"/>
    <w:rsid w:val="0001300C"/>
    <w:rsid w:val="00013ABC"/>
    <w:rsid w:val="00020ECD"/>
    <w:rsid w:val="000322B0"/>
    <w:rsid w:val="00033421"/>
    <w:rsid w:val="00036E23"/>
    <w:rsid w:val="000426E2"/>
    <w:rsid w:val="00046305"/>
    <w:rsid w:val="00047A32"/>
    <w:rsid w:val="00061D01"/>
    <w:rsid w:val="00064ABC"/>
    <w:rsid w:val="0006616F"/>
    <w:rsid w:val="00071D74"/>
    <w:rsid w:val="00074D9A"/>
    <w:rsid w:val="00081694"/>
    <w:rsid w:val="00085692"/>
    <w:rsid w:val="00086A84"/>
    <w:rsid w:val="00093CD9"/>
    <w:rsid w:val="00095145"/>
    <w:rsid w:val="000B5A21"/>
    <w:rsid w:val="000C5FF7"/>
    <w:rsid w:val="000D3EA2"/>
    <w:rsid w:val="000F0776"/>
    <w:rsid w:val="000F2F2E"/>
    <w:rsid w:val="000F3980"/>
    <w:rsid w:val="000F4972"/>
    <w:rsid w:val="000F7A10"/>
    <w:rsid w:val="000F7C12"/>
    <w:rsid w:val="00123B96"/>
    <w:rsid w:val="00123DF7"/>
    <w:rsid w:val="00156C68"/>
    <w:rsid w:val="001570B6"/>
    <w:rsid w:val="00167E0F"/>
    <w:rsid w:val="0017206C"/>
    <w:rsid w:val="00173678"/>
    <w:rsid w:val="001743D4"/>
    <w:rsid w:val="00184289"/>
    <w:rsid w:val="00191073"/>
    <w:rsid w:val="001A3688"/>
    <w:rsid w:val="001B1179"/>
    <w:rsid w:val="001D5672"/>
    <w:rsid w:val="001D6A0B"/>
    <w:rsid w:val="001D6F47"/>
    <w:rsid w:val="001E3C96"/>
    <w:rsid w:val="001E4A16"/>
    <w:rsid w:val="001E5CFC"/>
    <w:rsid w:val="001E67A4"/>
    <w:rsid w:val="001F3F14"/>
    <w:rsid w:val="002211E9"/>
    <w:rsid w:val="002256B9"/>
    <w:rsid w:val="00233849"/>
    <w:rsid w:val="002459E1"/>
    <w:rsid w:val="00255774"/>
    <w:rsid w:val="002559AD"/>
    <w:rsid w:val="0025699F"/>
    <w:rsid w:val="002705B0"/>
    <w:rsid w:val="002718A9"/>
    <w:rsid w:val="002718F9"/>
    <w:rsid w:val="00284A5F"/>
    <w:rsid w:val="00292FBA"/>
    <w:rsid w:val="002A7701"/>
    <w:rsid w:val="002D0601"/>
    <w:rsid w:val="002D240C"/>
    <w:rsid w:val="002E185B"/>
    <w:rsid w:val="002F6CD2"/>
    <w:rsid w:val="00300472"/>
    <w:rsid w:val="00330AE5"/>
    <w:rsid w:val="00331D39"/>
    <w:rsid w:val="00331DE1"/>
    <w:rsid w:val="0033399D"/>
    <w:rsid w:val="0033755D"/>
    <w:rsid w:val="003450C4"/>
    <w:rsid w:val="00350A61"/>
    <w:rsid w:val="003619EE"/>
    <w:rsid w:val="003658D7"/>
    <w:rsid w:val="00371D20"/>
    <w:rsid w:val="003762E4"/>
    <w:rsid w:val="00392B14"/>
    <w:rsid w:val="003A0989"/>
    <w:rsid w:val="003A43E8"/>
    <w:rsid w:val="003B14D9"/>
    <w:rsid w:val="003B165F"/>
    <w:rsid w:val="003B2669"/>
    <w:rsid w:val="003B3FF0"/>
    <w:rsid w:val="003B596E"/>
    <w:rsid w:val="003C07CE"/>
    <w:rsid w:val="003C1241"/>
    <w:rsid w:val="003C2C02"/>
    <w:rsid w:val="003C477B"/>
    <w:rsid w:val="003C5EDE"/>
    <w:rsid w:val="003C6B0F"/>
    <w:rsid w:val="003C79F7"/>
    <w:rsid w:val="003D6292"/>
    <w:rsid w:val="003E02FE"/>
    <w:rsid w:val="004067C8"/>
    <w:rsid w:val="00407B02"/>
    <w:rsid w:val="00411647"/>
    <w:rsid w:val="00413DDB"/>
    <w:rsid w:val="00416414"/>
    <w:rsid w:val="00417CDD"/>
    <w:rsid w:val="0042369B"/>
    <w:rsid w:val="00431FC2"/>
    <w:rsid w:val="00445BD4"/>
    <w:rsid w:val="00450E74"/>
    <w:rsid w:val="00455FAF"/>
    <w:rsid w:val="0047316C"/>
    <w:rsid w:val="00474310"/>
    <w:rsid w:val="00474E13"/>
    <w:rsid w:val="004811DE"/>
    <w:rsid w:val="00496FE8"/>
    <w:rsid w:val="0049719F"/>
    <w:rsid w:val="004A42AF"/>
    <w:rsid w:val="004B28F8"/>
    <w:rsid w:val="004B3868"/>
    <w:rsid w:val="004B39FF"/>
    <w:rsid w:val="004B5C47"/>
    <w:rsid w:val="004C3030"/>
    <w:rsid w:val="004C5145"/>
    <w:rsid w:val="004D1D5E"/>
    <w:rsid w:val="004D3DF9"/>
    <w:rsid w:val="004E10E0"/>
    <w:rsid w:val="004E35F2"/>
    <w:rsid w:val="004E77DF"/>
    <w:rsid w:val="004F2148"/>
    <w:rsid w:val="004F64A3"/>
    <w:rsid w:val="005018E3"/>
    <w:rsid w:val="0050466D"/>
    <w:rsid w:val="005102F3"/>
    <w:rsid w:val="00517055"/>
    <w:rsid w:val="005216B8"/>
    <w:rsid w:val="00523838"/>
    <w:rsid w:val="005254F8"/>
    <w:rsid w:val="00536428"/>
    <w:rsid w:val="005442C0"/>
    <w:rsid w:val="00553D83"/>
    <w:rsid w:val="00554F03"/>
    <w:rsid w:val="00557227"/>
    <w:rsid w:val="00566589"/>
    <w:rsid w:val="00567682"/>
    <w:rsid w:val="0058349D"/>
    <w:rsid w:val="0058561C"/>
    <w:rsid w:val="00593C73"/>
    <w:rsid w:val="00595C77"/>
    <w:rsid w:val="005960AD"/>
    <w:rsid w:val="005968A5"/>
    <w:rsid w:val="00597225"/>
    <w:rsid w:val="005B0C5E"/>
    <w:rsid w:val="005B3724"/>
    <w:rsid w:val="005B402F"/>
    <w:rsid w:val="005B44D9"/>
    <w:rsid w:val="005C20D1"/>
    <w:rsid w:val="005C2C0C"/>
    <w:rsid w:val="005C485C"/>
    <w:rsid w:val="005D218F"/>
    <w:rsid w:val="005F0C78"/>
    <w:rsid w:val="005F638B"/>
    <w:rsid w:val="00607D10"/>
    <w:rsid w:val="00612A2C"/>
    <w:rsid w:val="00613D63"/>
    <w:rsid w:val="00616862"/>
    <w:rsid w:val="006234BA"/>
    <w:rsid w:val="006305B7"/>
    <w:rsid w:val="006418E8"/>
    <w:rsid w:val="0066495B"/>
    <w:rsid w:val="006661DC"/>
    <w:rsid w:val="006700C9"/>
    <w:rsid w:val="00671075"/>
    <w:rsid w:val="0067126C"/>
    <w:rsid w:val="00672A6D"/>
    <w:rsid w:val="0068210D"/>
    <w:rsid w:val="00682843"/>
    <w:rsid w:val="0068491E"/>
    <w:rsid w:val="00693283"/>
    <w:rsid w:val="006A1AC8"/>
    <w:rsid w:val="006A351B"/>
    <w:rsid w:val="006B2654"/>
    <w:rsid w:val="006B424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31423"/>
    <w:rsid w:val="00736CD7"/>
    <w:rsid w:val="00737F1B"/>
    <w:rsid w:val="00741191"/>
    <w:rsid w:val="00753314"/>
    <w:rsid w:val="00753A95"/>
    <w:rsid w:val="00757AA8"/>
    <w:rsid w:val="0076252F"/>
    <w:rsid w:val="00765602"/>
    <w:rsid w:val="007726B7"/>
    <w:rsid w:val="00776249"/>
    <w:rsid w:val="00783082"/>
    <w:rsid w:val="00784524"/>
    <w:rsid w:val="007A4697"/>
    <w:rsid w:val="007A4DB2"/>
    <w:rsid w:val="007A6D82"/>
    <w:rsid w:val="007B3E43"/>
    <w:rsid w:val="007C5D2A"/>
    <w:rsid w:val="007D1A0D"/>
    <w:rsid w:val="007D467B"/>
    <w:rsid w:val="007E4BFC"/>
    <w:rsid w:val="007E74E3"/>
    <w:rsid w:val="007F49A3"/>
    <w:rsid w:val="0082185D"/>
    <w:rsid w:val="00824379"/>
    <w:rsid w:val="00832EE5"/>
    <w:rsid w:val="00833091"/>
    <w:rsid w:val="00853A7D"/>
    <w:rsid w:val="00854D5C"/>
    <w:rsid w:val="00860E11"/>
    <w:rsid w:val="00873228"/>
    <w:rsid w:val="0087413F"/>
    <w:rsid w:val="008810A3"/>
    <w:rsid w:val="0088515C"/>
    <w:rsid w:val="008B0700"/>
    <w:rsid w:val="008B374B"/>
    <w:rsid w:val="008B4BD4"/>
    <w:rsid w:val="008C21F8"/>
    <w:rsid w:val="008C34FE"/>
    <w:rsid w:val="008E7B72"/>
    <w:rsid w:val="008F27FB"/>
    <w:rsid w:val="008F3A58"/>
    <w:rsid w:val="008F695E"/>
    <w:rsid w:val="009013B2"/>
    <w:rsid w:val="0090210B"/>
    <w:rsid w:val="00903201"/>
    <w:rsid w:val="00906960"/>
    <w:rsid w:val="0091756C"/>
    <w:rsid w:val="009237B4"/>
    <w:rsid w:val="00930113"/>
    <w:rsid w:val="009318AE"/>
    <w:rsid w:val="00932451"/>
    <w:rsid w:val="00935A52"/>
    <w:rsid w:val="0094251E"/>
    <w:rsid w:val="00943892"/>
    <w:rsid w:val="00945F29"/>
    <w:rsid w:val="0097132E"/>
    <w:rsid w:val="009726BF"/>
    <w:rsid w:val="009870B6"/>
    <w:rsid w:val="00996E53"/>
    <w:rsid w:val="009A31B6"/>
    <w:rsid w:val="009A33FB"/>
    <w:rsid w:val="009A67F1"/>
    <w:rsid w:val="009A7846"/>
    <w:rsid w:val="009B36A2"/>
    <w:rsid w:val="009B59DC"/>
    <w:rsid w:val="009D55BD"/>
    <w:rsid w:val="009D68B2"/>
    <w:rsid w:val="009E6DAF"/>
    <w:rsid w:val="009F2B78"/>
    <w:rsid w:val="009F370C"/>
    <w:rsid w:val="00A019CE"/>
    <w:rsid w:val="00A0789D"/>
    <w:rsid w:val="00A15285"/>
    <w:rsid w:val="00A1639D"/>
    <w:rsid w:val="00A2475C"/>
    <w:rsid w:val="00A424E0"/>
    <w:rsid w:val="00A43DA9"/>
    <w:rsid w:val="00A44277"/>
    <w:rsid w:val="00A45149"/>
    <w:rsid w:val="00A50795"/>
    <w:rsid w:val="00A55938"/>
    <w:rsid w:val="00A55F83"/>
    <w:rsid w:val="00A62306"/>
    <w:rsid w:val="00A6383F"/>
    <w:rsid w:val="00A67304"/>
    <w:rsid w:val="00A9102D"/>
    <w:rsid w:val="00AA0C08"/>
    <w:rsid w:val="00AA0CC3"/>
    <w:rsid w:val="00AA6A03"/>
    <w:rsid w:val="00AB4248"/>
    <w:rsid w:val="00AB7DD3"/>
    <w:rsid w:val="00AC49BB"/>
    <w:rsid w:val="00AC63C6"/>
    <w:rsid w:val="00AD292E"/>
    <w:rsid w:val="00AE59B2"/>
    <w:rsid w:val="00AF0808"/>
    <w:rsid w:val="00AF2338"/>
    <w:rsid w:val="00AF6673"/>
    <w:rsid w:val="00AF7800"/>
    <w:rsid w:val="00AF7EB7"/>
    <w:rsid w:val="00AF7FAC"/>
    <w:rsid w:val="00B02A50"/>
    <w:rsid w:val="00B1478E"/>
    <w:rsid w:val="00B15844"/>
    <w:rsid w:val="00B20528"/>
    <w:rsid w:val="00B24F7D"/>
    <w:rsid w:val="00B3407F"/>
    <w:rsid w:val="00B459F6"/>
    <w:rsid w:val="00B46714"/>
    <w:rsid w:val="00B47370"/>
    <w:rsid w:val="00B50538"/>
    <w:rsid w:val="00B50C21"/>
    <w:rsid w:val="00B50CBF"/>
    <w:rsid w:val="00B51D6D"/>
    <w:rsid w:val="00B52293"/>
    <w:rsid w:val="00B52D23"/>
    <w:rsid w:val="00B60F5E"/>
    <w:rsid w:val="00B71FC0"/>
    <w:rsid w:val="00B75474"/>
    <w:rsid w:val="00B81722"/>
    <w:rsid w:val="00BA2604"/>
    <w:rsid w:val="00BA317F"/>
    <w:rsid w:val="00BA5972"/>
    <w:rsid w:val="00BB4A77"/>
    <w:rsid w:val="00BC34E1"/>
    <w:rsid w:val="00BD0C9A"/>
    <w:rsid w:val="00BD5A58"/>
    <w:rsid w:val="00BE2755"/>
    <w:rsid w:val="00BE4E6E"/>
    <w:rsid w:val="00BF4F89"/>
    <w:rsid w:val="00BF5FB1"/>
    <w:rsid w:val="00C00904"/>
    <w:rsid w:val="00C00EAD"/>
    <w:rsid w:val="00C05FB5"/>
    <w:rsid w:val="00C066EB"/>
    <w:rsid w:val="00C10B34"/>
    <w:rsid w:val="00C12A51"/>
    <w:rsid w:val="00C344CC"/>
    <w:rsid w:val="00C45D0F"/>
    <w:rsid w:val="00C53E98"/>
    <w:rsid w:val="00C54F83"/>
    <w:rsid w:val="00C60629"/>
    <w:rsid w:val="00C72B47"/>
    <w:rsid w:val="00C7316D"/>
    <w:rsid w:val="00C74F98"/>
    <w:rsid w:val="00C77B60"/>
    <w:rsid w:val="00C8667C"/>
    <w:rsid w:val="00C87092"/>
    <w:rsid w:val="00C9286A"/>
    <w:rsid w:val="00CA241C"/>
    <w:rsid w:val="00CA4F4D"/>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85C9F"/>
    <w:rsid w:val="00D90AD9"/>
    <w:rsid w:val="00D94422"/>
    <w:rsid w:val="00DA133B"/>
    <w:rsid w:val="00DA34C5"/>
    <w:rsid w:val="00DB6444"/>
    <w:rsid w:val="00DB6922"/>
    <w:rsid w:val="00DC3A4A"/>
    <w:rsid w:val="00DD011E"/>
    <w:rsid w:val="00DD2F56"/>
    <w:rsid w:val="00DD57C3"/>
    <w:rsid w:val="00DD7CE6"/>
    <w:rsid w:val="00DE0BF1"/>
    <w:rsid w:val="00DE25DE"/>
    <w:rsid w:val="00DE5B59"/>
    <w:rsid w:val="00DE6425"/>
    <w:rsid w:val="00DF44BA"/>
    <w:rsid w:val="00E257B9"/>
    <w:rsid w:val="00E30205"/>
    <w:rsid w:val="00E33842"/>
    <w:rsid w:val="00E3677D"/>
    <w:rsid w:val="00E53D6A"/>
    <w:rsid w:val="00E56CC2"/>
    <w:rsid w:val="00E6773B"/>
    <w:rsid w:val="00E71BA1"/>
    <w:rsid w:val="00E73D16"/>
    <w:rsid w:val="00E7587B"/>
    <w:rsid w:val="00E76BE1"/>
    <w:rsid w:val="00E842EA"/>
    <w:rsid w:val="00E848D8"/>
    <w:rsid w:val="00E84B7B"/>
    <w:rsid w:val="00E86586"/>
    <w:rsid w:val="00E920D8"/>
    <w:rsid w:val="00E95C06"/>
    <w:rsid w:val="00E97905"/>
    <w:rsid w:val="00EA1656"/>
    <w:rsid w:val="00EA795F"/>
    <w:rsid w:val="00EB2C60"/>
    <w:rsid w:val="00EC76B9"/>
    <w:rsid w:val="00ED5D39"/>
    <w:rsid w:val="00EE4A75"/>
    <w:rsid w:val="00EF0997"/>
    <w:rsid w:val="00EF176D"/>
    <w:rsid w:val="00F04957"/>
    <w:rsid w:val="00F06002"/>
    <w:rsid w:val="00F11092"/>
    <w:rsid w:val="00F17D6E"/>
    <w:rsid w:val="00F20D28"/>
    <w:rsid w:val="00F22510"/>
    <w:rsid w:val="00F24B4A"/>
    <w:rsid w:val="00F46C1D"/>
    <w:rsid w:val="00F722A9"/>
    <w:rsid w:val="00F74690"/>
    <w:rsid w:val="00F80399"/>
    <w:rsid w:val="00F829BC"/>
    <w:rsid w:val="00F91724"/>
    <w:rsid w:val="00F91D86"/>
    <w:rsid w:val="00F96A65"/>
    <w:rsid w:val="00FA2CF6"/>
    <w:rsid w:val="00FA5B7F"/>
    <w:rsid w:val="00FA72BE"/>
    <w:rsid w:val="00FB16E0"/>
    <w:rsid w:val="00FB499F"/>
    <w:rsid w:val="00FB619F"/>
    <w:rsid w:val="00FB7372"/>
    <w:rsid w:val="00FC34A5"/>
    <w:rsid w:val="00FC7F35"/>
    <w:rsid w:val="00FD255F"/>
    <w:rsid w:val="00FD69C2"/>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rsid w:val="00501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rsid w:val="00501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176622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A0E254-6413-40CF-839F-BFD62B738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355</Words>
  <Characters>2026</Characters>
  <Application>Microsoft Office Word</Application>
  <DocSecurity>0</DocSecurity>
  <Lines>16</Lines>
  <Paragraphs>4</Paragraphs>
  <ScaleCrop>false</ScaleCrop>
  <Company>微软中国</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投融资部赖训珑</cp:lastModifiedBy>
  <cp:revision>33</cp:revision>
  <cp:lastPrinted>2018-06-26T05:20:00Z</cp:lastPrinted>
  <dcterms:created xsi:type="dcterms:W3CDTF">2018-10-16T07:14:00Z</dcterms:created>
  <dcterms:modified xsi:type="dcterms:W3CDTF">2018-10-18T09:05:00Z</dcterms:modified>
</cp:coreProperties>
</file>